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0A" w:rsidRDefault="00F8330A" w:rsidP="00F8330A">
      <w:pPr>
        <w:pStyle w:val="ConsPlusNormal"/>
        <w:jc w:val="center"/>
      </w:pPr>
      <w:r>
        <w:t>Сведения</w:t>
      </w:r>
    </w:p>
    <w:p w:rsidR="00F8330A" w:rsidRDefault="00F8330A" w:rsidP="00F8330A">
      <w:pPr>
        <w:pStyle w:val="ConsPlusNormal"/>
        <w:jc w:val="center"/>
      </w:pPr>
      <w:r>
        <w:t>о проектной документации, в отношении которой выдано</w:t>
      </w:r>
    </w:p>
    <w:p w:rsidR="00F8330A" w:rsidRDefault="00F8330A" w:rsidP="00F8330A">
      <w:pPr>
        <w:pStyle w:val="ConsPlusNormal"/>
        <w:jc w:val="center"/>
      </w:pPr>
      <w:r>
        <w:t>положительное заключение уполномоченного на проведение</w:t>
      </w:r>
    </w:p>
    <w:p w:rsidR="00F8330A" w:rsidRDefault="00F8330A" w:rsidP="00F8330A">
      <w:pPr>
        <w:pStyle w:val="ConsPlusNormal"/>
        <w:jc w:val="center"/>
      </w:pPr>
      <w:r>
        <w:t>государственной экспертизы проектной документации</w:t>
      </w:r>
    </w:p>
    <w:p w:rsidR="00F8330A" w:rsidRDefault="00F8330A" w:rsidP="00F8330A">
      <w:pPr>
        <w:pStyle w:val="ConsPlusNormal"/>
        <w:jc w:val="center"/>
      </w:pPr>
      <w:r>
        <w:t>органа исполнительной власти и организации</w:t>
      </w:r>
    </w:p>
    <w:p w:rsidR="00F8330A" w:rsidRDefault="00F8330A" w:rsidP="00F833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3"/>
        <w:gridCol w:w="3260"/>
        <w:gridCol w:w="4532"/>
      </w:tblGrid>
      <w:tr w:rsidR="00F8330A" w:rsidTr="007335A4">
        <w:tc>
          <w:tcPr>
            <w:tcW w:w="623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N п/п</w:t>
            </w:r>
          </w:p>
        </w:tc>
        <w:tc>
          <w:tcPr>
            <w:tcW w:w="3913" w:type="dxa"/>
            <w:gridSpan w:val="2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Наименование поля формы</w:t>
            </w:r>
          </w:p>
        </w:tc>
        <w:tc>
          <w:tcPr>
            <w:tcW w:w="4532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Значение</w:t>
            </w:r>
          </w:p>
        </w:tc>
      </w:tr>
      <w:tr w:rsidR="00F8330A" w:rsidTr="007335A4">
        <w:tc>
          <w:tcPr>
            <w:tcW w:w="623" w:type="dxa"/>
            <w:shd w:val="clear" w:color="auto" w:fill="FBE4D5" w:themeFill="accent2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1.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документации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F8330A" w:rsidRPr="00F34ABE" w:rsidRDefault="003E7C10" w:rsidP="00FD1425">
            <w:pPr>
              <w:pStyle w:val="ConsPlusNormal"/>
            </w:pPr>
            <w:r w:rsidRPr="003E7C10">
              <w:t>Гаражи по ул. Октябрьской, 79 в г. Калининграде</w:t>
            </w:r>
          </w:p>
        </w:tc>
      </w:tr>
      <w:tr w:rsidR="00F8330A" w:rsidTr="007335A4">
        <w:tc>
          <w:tcPr>
            <w:tcW w:w="623" w:type="dxa"/>
            <w:shd w:val="clear" w:color="auto" w:fill="EDEDED" w:themeFill="accent3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2.</w:t>
            </w:r>
          </w:p>
        </w:tc>
        <w:tc>
          <w:tcPr>
            <w:tcW w:w="3913" w:type="dxa"/>
            <w:gridSpan w:val="2"/>
            <w:shd w:val="clear" w:color="auto" w:fill="EDEDED" w:themeFill="accent3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объекта капитального строительства</w:t>
            </w:r>
          </w:p>
        </w:tc>
        <w:tc>
          <w:tcPr>
            <w:tcW w:w="4532" w:type="dxa"/>
            <w:shd w:val="clear" w:color="auto" w:fill="EDEDED" w:themeFill="accent3" w:themeFillTint="33"/>
          </w:tcPr>
          <w:p w:rsidR="00F8330A" w:rsidRPr="00F34ABE" w:rsidRDefault="00C65621" w:rsidP="00FD1425">
            <w:pPr>
              <w:pStyle w:val="ConsPlusNormal"/>
            </w:pPr>
            <w:r w:rsidRPr="00C65621">
              <w:t>Гаражи по ул. Октябрьской, 79 в г. Калининграде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8B477A" w:rsidRDefault="00105C06" w:rsidP="007335A4">
            <w:pPr>
              <w:jc w:val="center"/>
            </w:pPr>
            <w:r w:rsidRPr="008B477A">
              <w:t>6.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Default="00105C06" w:rsidP="00FD1425">
            <w:r w:rsidRPr="008B477A"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105C06" w:rsidRDefault="00105C06" w:rsidP="00FD1425">
            <w:pPr>
              <w:pStyle w:val="ConsPlusNormal"/>
            </w:pPr>
            <w:r>
              <w:t>Калининградская область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7.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Адрес объекта капитального строительства (адресный ориентир)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C65621" w:rsidP="00C65621">
            <w:pPr>
              <w:pStyle w:val="ConsPlusNormal"/>
            </w:pPr>
            <w:r>
              <w:t>Калининградская область, г. Калининград,</w:t>
            </w:r>
            <w:r w:rsidRPr="00C65621">
              <w:t xml:space="preserve"> </w:t>
            </w:r>
            <w:r>
              <w:t>ул. Октябрьской, 79</w:t>
            </w:r>
            <w:r w:rsidRPr="00C65621">
              <w:t xml:space="preserve"> 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3.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220981" w:rsidP="00FD1425">
            <w:pPr>
              <w:pStyle w:val="ConsPlusNormal"/>
            </w:pPr>
            <w:r w:rsidRPr="00220981">
              <w:t>Муниципальное казенное учреждение «Управление капитального строительства» городского округа «Город Калининград»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4.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Место нахождения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220981" w:rsidP="00FD1425">
            <w:pPr>
              <w:pStyle w:val="ConsPlusNormal"/>
            </w:pPr>
            <w:r w:rsidRPr="00220981">
              <w:t>236022, г. Калининград, ул. В. Котика, д. 4-10</w:t>
            </w:r>
          </w:p>
        </w:tc>
      </w:tr>
      <w:tr w:rsidR="0022743A" w:rsidTr="007335A4">
        <w:tc>
          <w:tcPr>
            <w:tcW w:w="623" w:type="dxa"/>
            <w:shd w:val="clear" w:color="auto" w:fill="D9E2F3" w:themeFill="accent5" w:themeFillTint="33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22743A" w:rsidRPr="00F34ABE" w:rsidRDefault="0022743A" w:rsidP="00FD1425">
            <w:pPr>
              <w:pStyle w:val="ConsPlusNormal"/>
            </w:pPr>
            <w:r w:rsidRPr="00F34ABE">
              <w:t>ИНН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22743A" w:rsidRPr="00F34ABE" w:rsidRDefault="00F63A10" w:rsidP="00FD1425">
            <w:pPr>
              <w:pStyle w:val="ConsPlusNormal"/>
            </w:pPr>
            <w:r w:rsidRPr="00F63A10">
              <w:t>3906257628</w:t>
            </w:r>
          </w:p>
        </w:tc>
      </w:tr>
      <w:tr w:rsidR="00F63A10" w:rsidTr="007335A4">
        <w:trPr>
          <w:trHeight w:val="427"/>
        </w:trPr>
        <w:tc>
          <w:tcPr>
            <w:tcW w:w="623" w:type="dxa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</w:pPr>
            <w:r w:rsidRPr="00F34ABE">
              <w:t>Наименование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F63A10" w:rsidRPr="00832F4B" w:rsidRDefault="00F63A10" w:rsidP="00F63A10">
            <w:r w:rsidRPr="00832F4B">
              <w:t>Муниципальное казенное учреждение «Управление капитального строительства» городского округа «Город Калининград»</w:t>
            </w:r>
          </w:p>
        </w:tc>
      </w:tr>
      <w:tr w:rsidR="00F63A10" w:rsidTr="007335A4">
        <w:tc>
          <w:tcPr>
            <w:tcW w:w="623" w:type="dxa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</w:pPr>
            <w:r w:rsidRPr="00F34ABE">
              <w:t>Место нахождения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F63A10" w:rsidRPr="00832F4B" w:rsidRDefault="00F63A10" w:rsidP="00F63A10">
            <w:r w:rsidRPr="00832F4B">
              <w:t>236022, г. Калининград, ул. В. Котика, д. 4-10</w:t>
            </w:r>
          </w:p>
        </w:tc>
      </w:tr>
      <w:tr w:rsidR="00F63A10" w:rsidTr="007335A4">
        <w:tc>
          <w:tcPr>
            <w:tcW w:w="623" w:type="dxa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F63A10" w:rsidRPr="00F34ABE" w:rsidRDefault="00F63A10" w:rsidP="00F63A10">
            <w:pPr>
              <w:pStyle w:val="ConsPlusNormal"/>
            </w:pPr>
            <w:r w:rsidRPr="00F34ABE">
              <w:t xml:space="preserve">ИНН </w:t>
            </w:r>
            <w:r w:rsidRPr="00105C06">
              <w:t>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F63A10" w:rsidRDefault="00F63A10" w:rsidP="00F63A10">
            <w:r w:rsidRPr="00832F4B">
              <w:t>3906257628</w:t>
            </w:r>
          </w:p>
        </w:tc>
      </w:tr>
      <w:tr w:rsidR="00F8330A" w:rsidTr="007335A4">
        <w:tc>
          <w:tcPr>
            <w:tcW w:w="623" w:type="dxa"/>
            <w:shd w:val="clear" w:color="auto" w:fill="C5E0B3" w:themeFill="accent6" w:themeFillTint="66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5.</w:t>
            </w: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F8330A" w:rsidRPr="00F34ABE" w:rsidRDefault="00F63A10" w:rsidP="00F63A10">
            <w:pPr>
              <w:pStyle w:val="ConsPlusNormal"/>
            </w:pPr>
            <w:r w:rsidRPr="00F63A10">
              <w:t>О</w:t>
            </w:r>
            <w:r>
              <w:t xml:space="preserve">бщество с ограниченной </w:t>
            </w:r>
            <w:r w:rsidR="00C749A0">
              <w:t>ответственностью</w:t>
            </w:r>
            <w:r>
              <w:t xml:space="preserve"> </w:t>
            </w:r>
            <w:r w:rsidRPr="00F63A10">
              <w:t>«НИМБ-ПРОЕКТ»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C749A0" w:rsidP="00FD1425">
            <w:pPr>
              <w:pStyle w:val="ConsPlusNormal"/>
            </w:pPr>
            <w:r w:rsidRPr="00C749A0">
              <w:t>236016, г. К</w:t>
            </w:r>
            <w:r>
              <w:t>алининград, ул. Пражская, 5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F63A10" w:rsidP="00FD1425">
            <w:pPr>
              <w:pStyle w:val="ConsPlusNormal"/>
            </w:pPr>
            <w:r w:rsidRPr="00F63A10">
              <w:t>3905030367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lastRenderedPageBreak/>
              <w:t>5.</w:t>
            </w: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8.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Номер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594A98" w:rsidRDefault="00594A98" w:rsidP="00594A98">
            <w:pPr>
              <w:pStyle w:val="ConsPlusNormal"/>
            </w:pPr>
            <w:r>
              <w:t>39-1-1-2-0070-18 / 39-1-1-2-00</w:t>
            </w:r>
            <w:r>
              <w:tab/>
              <w:t>0240-2018</w:t>
            </w:r>
          </w:p>
          <w:p w:rsidR="00105C06" w:rsidRPr="00F34ABE" w:rsidRDefault="00105C06" w:rsidP="00594A98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9.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Дата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105C06" w:rsidRPr="00F34ABE" w:rsidRDefault="00594A98" w:rsidP="00FD1425">
            <w:pPr>
              <w:pStyle w:val="ConsPlusNormal"/>
            </w:pPr>
            <w:r>
              <w:t>20.08.2018 г. / 21.08.2018 г.</w:t>
            </w:r>
          </w:p>
        </w:tc>
      </w:tr>
      <w:tr w:rsidR="00105C06" w:rsidTr="007335A4">
        <w:tc>
          <w:tcPr>
            <w:tcW w:w="623" w:type="dxa"/>
            <w:shd w:val="clear" w:color="auto" w:fill="D9E2F3" w:themeFill="accent5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10.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Применение экономически эффективной проектной документации повторного использования (да/нет)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105C06" w:rsidRPr="00F34ABE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11.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Достоверность определения сметной стоимости подтверждена (да/нет)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FD1425" w:rsidP="00FD1425">
            <w:pPr>
              <w:pStyle w:val="ConsPlusNormal"/>
            </w:pPr>
            <w:r w:rsidRPr="00594A98">
              <w:rPr>
                <w:highlight w:val="yellow"/>
              </w:rPr>
              <w:t>да/нет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12.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Сметная стоимость строительства в текущем уровне цен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13.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Сведения о </w:t>
            </w:r>
            <w:proofErr w:type="spellStart"/>
            <w:r w:rsidRPr="00F34ABE">
              <w:t>непревышении</w:t>
            </w:r>
            <w:proofErr w:type="spellEnd"/>
            <w:r w:rsidRPr="00F34ABE">
              <w:t xml:space="preserve"> стоимости </w:t>
            </w:r>
            <w:r w:rsidRPr="00F34ABE"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FD1425">
        <w:trPr>
          <w:trHeight w:val="996"/>
        </w:trPr>
        <w:tc>
          <w:tcPr>
            <w:tcW w:w="623" w:type="dxa"/>
            <w:shd w:val="clear" w:color="auto" w:fill="F4B083" w:themeFill="accent2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14.</w:t>
            </w:r>
          </w:p>
        </w:tc>
        <w:tc>
          <w:tcPr>
            <w:tcW w:w="3913" w:type="dxa"/>
            <w:gridSpan w:val="2"/>
            <w:shd w:val="clear" w:color="auto" w:fill="F4B083" w:themeFill="accent2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Назначение объекта капитального строительства</w:t>
            </w:r>
          </w:p>
        </w:tc>
        <w:tc>
          <w:tcPr>
            <w:tcW w:w="4532" w:type="dxa"/>
            <w:shd w:val="clear" w:color="auto" w:fill="F4B083" w:themeFill="accent2" w:themeFillTint="99"/>
          </w:tcPr>
          <w:p w:rsidR="00105C06" w:rsidRPr="00F34ABE" w:rsidRDefault="00506CA2" w:rsidP="00506CA2">
            <w:pPr>
              <w:pStyle w:val="ConsPlusNormal"/>
            </w:pPr>
            <w:r>
              <w:t>З</w:t>
            </w:r>
            <w:r w:rsidRPr="00506CA2">
              <w:t>дание гаража предназначено для хранения автотранспортных средств (спец техники МКУ «Управление по делам ГО и ЧС г. Калининграда»)</w:t>
            </w:r>
            <w:r>
              <w:t xml:space="preserve">. </w:t>
            </w:r>
            <w:r w:rsidRPr="00506CA2">
              <w:t>Здание гаража состоит из 5 боксов, один из которых оснащен моечным оборудованием с оборотной системой водоснабжения. Для обеспечения визуального осмотра автомашин один из боксов оборудован смотровой ямой.</w:t>
            </w:r>
          </w:p>
        </w:tc>
      </w:tr>
      <w:tr w:rsidR="00105C06" w:rsidTr="007335A4">
        <w:tc>
          <w:tcPr>
            <w:tcW w:w="623" w:type="dxa"/>
            <w:tcBorders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15.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 xml:space="preserve">5 </w:t>
            </w:r>
            <w:proofErr w:type="spellStart"/>
            <w:r>
              <w:t>машино</w:t>
            </w:r>
            <w:bookmarkStart w:id="0" w:name="_GoBack"/>
            <w:bookmarkEnd w:id="0"/>
            <w:r>
              <w:t>мест</w:t>
            </w:r>
            <w:proofErr w:type="spellEnd"/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15.2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15.3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Общая площадь,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>208,00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15.4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15.5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15.6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застройки,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>234,40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15.7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Объем строительный, м3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>1172,00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15.8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Количество этажей, (в единицах)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>1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15.9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Протяженность, м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Класс </w:t>
            </w:r>
            <w:proofErr w:type="spellStart"/>
            <w:r w:rsidRPr="00F34ABE">
              <w:t>энергоэффективности</w:t>
            </w:r>
            <w:proofErr w:type="spellEnd"/>
            <w:r w:rsidRPr="00F34ABE"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464FA" w:rsidP="00FD1425">
            <w:pPr>
              <w:pStyle w:val="ConsPlusNormal"/>
            </w:pPr>
            <w:r>
              <w:t>Не классифицируется</w:t>
            </w:r>
          </w:p>
        </w:tc>
      </w:tr>
      <w:tr w:rsidR="00105C06" w:rsidTr="007335A4">
        <w:tc>
          <w:tcPr>
            <w:tcW w:w="623" w:type="dxa"/>
            <w:tcBorders>
              <w:top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16.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Код климатического района, подрайона</w:t>
            </w:r>
          </w:p>
          <w:p w:rsidR="00105C06" w:rsidRPr="00F34ABE" w:rsidRDefault="00105C06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E019D8" w:rsidRDefault="00E019D8" w:rsidP="00FD1425">
            <w:pPr>
              <w:pStyle w:val="ConsPlusNormal"/>
            </w:pPr>
            <w:r>
              <w:rPr>
                <w:lang w:val="en-US"/>
              </w:rPr>
              <w:t>II</w:t>
            </w:r>
            <w:r>
              <w:t xml:space="preserve"> Б</w:t>
            </w: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17.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Код снегового района</w:t>
            </w:r>
          </w:p>
          <w:p w:rsidR="00105C06" w:rsidRPr="00F34ABE" w:rsidRDefault="00105C06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8738CA" w:rsidRDefault="001F171C" w:rsidP="00FD1425">
            <w:pPr>
              <w:pStyle w:val="ConsPlusNormal"/>
            </w:pPr>
            <w:r w:rsidRPr="001F171C">
              <w:t>II</w:t>
            </w: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18.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Код ветрового района</w:t>
            </w:r>
          </w:p>
          <w:p w:rsidR="00105C06" w:rsidRPr="00F34ABE" w:rsidRDefault="00105C06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8738CA" w:rsidRDefault="001F171C" w:rsidP="00FD1425">
            <w:pPr>
              <w:pStyle w:val="ConsPlusNormal"/>
            </w:pPr>
            <w:r w:rsidRPr="001F171C">
              <w:t>II</w:t>
            </w: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19.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Код сейсмичности района</w:t>
            </w:r>
          </w:p>
          <w:p w:rsidR="00105C06" w:rsidRPr="00F34ABE" w:rsidRDefault="00105C06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8738CA" w:rsidRDefault="002D3C10" w:rsidP="00FD1425">
            <w:pPr>
              <w:pStyle w:val="ConsPlusNormal"/>
            </w:pPr>
            <w:r w:rsidRPr="002D3C10">
              <w:rPr>
                <w:highlight w:val="yellow"/>
              </w:rPr>
              <w:t>6 баллов</w:t>
            </w: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20.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8738CA" w:rsidRDefault="00FA6501" w:rsidP="00FD1425">
            <w:pPr>
              <w:pStyle w:val="ConsPlusNormal"/>
            </w:pPr>
            <w:r>
              <w:t>средняя</w:t>
            </w:r>
          </w:p>
        </w:tc>
      </w:tr>
      <w:tr w:rsidR="00105C06" w:rsidTr="007335A4">
        <w:tc>
          <w:tcPr>
            <w:tcW w:w="623" w:type="dxa"/>
            <w:shd w:val="clear" w:color="auto" w:fill="DEEAF6" w:themeFill="accent1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21.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 (да/нет)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105C06" w:rsidRPr="00105C06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7335A4">
        <w:tc>
          <w:tcPr>
            <w:tcW w:w="623" w:type="dxa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</w:tcPr>
          <w:p w:rsidR="00105C06" w:rsidRPr="00F34ABE" w:rsidRDefault="00105C06" w:rsidP="00FD1425">
            <w:pPr>
              <w:pStyle w:val="ConsPlusNormal"/>
            </w:pPr>
            <w:r w:rsidRPr="00F34ABE">
              <w:t>Объект является сложным (содержит в составе другие объекты) (Технико-экономические характеристики в случае строительства (реконструкции) сложного объекта (объекта, входящего в состав имущественного комплекса) заполняются на каждый объект капитального строительства, содержащийся в проектной документации) (да/нет)</w:t>
            </w:r>
          </w:p>
        </w:tc>
        <w:tc>
          <w:tcPr>
            <w:tcW w:w="4532" w:type="dxa"/>
          </w:tcPr>
          <w:p w:rsidR="00105C06" w:rsidRPr="00F34ABE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Pr="00142159" w:rsidRDefault="00105C06" w:rsidP="00FD1425">
            <w:pPr>
              <w:pStyle w:val="ConsPlusNormal"/>
            </w:pPr>
            <w:r>
              <w:t>Для сложного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 w:rsidRPr="00142159">
              <w:t>Наименование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Pr="00142159" w:rsidRDefault="00105C06" w:rsidP="00FD1425">
            <w:pPr>
              <w:pStyle w:val="ConsPlusNormal"/>
            </w:pPr>
            <w:r w:rsidRPr="00142159">
              <w:t>Функциональное назначение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Общая площадь,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застройки,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Объем строительный, м3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Количество этажей, (в единицах)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Протяженность, м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</w:tbl>
    <w:p w:rsidR="00F8330A" w:rsidRDefault="00F8330A" w:rsidP="00F8330A">
      <w:pPr>
        <w:pStyle w:val="ConsPlusNormal"/>
        <w:jc w:val="both"/>
      </w:pPr>
    </w:p>
    <w:p w:rsidR="00B76D74" w:rsidRDefault="00B76D74"/>
    <w:sectPr w:rsidR="00B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0A"/>
    <w:rsid w:val="00001235"/>
    <w:rsid w:val="000238EC"/>
    <w:rsid w:val="00034720"/>
    <w:rsid w:val="000410E7"/>
    <w:rsid w:val="00043250"/>
    <w:rsid w:val="00045C8B"/>
    <w:rsid w:val="00052351"/>
    <w:rsid w:val="000552D4"/>
    <w:rsid w:val="000604D7"/>
    <w:rsid w:val="000617F2"/>
    <w:rsid w:val="00074295"/>
    <w:rsid w:val="00076B9C"/>
    <w:rsid w:val="00082941"/>
    <w:rsid w:val="00083719"/>
    <w:rsid w:val="000853F7"/>
    <w:rsid w:val="00086172"/>
    <w:rsid w:val="00086E81"/>
    <w:rsid w:val="000875EE"/>
    <w:rsid w:val="00096D9E"/>
    <w:rsid w:val="000C0333"/>
    <w:rsid w:val="000C2827"/>
    <w:rsid w:val="000C2C9E"/>
    <w:rsid w:val="000C56E6"/>
    <w:rsid w:val="000C64C0"/>
    <w:rsid w:val="000C7EE4"/>
    <w:rsid w:val="000D09FE"/>
    <w:rsid w:val="000E4E9C"/>
    <w:rsid w:val="000E7C43"/>
    <w:rsid w:val="000F126E"/>
    <w:rsid w:val="00103109"/>
    <w:rsid w:val="0010533B"/>
    <w:rsid w:val="00105C06"/>
    <w:rsid w:val="00111CD8"/>
    <w:rsid w:val="00112290"/>
    <w:rsid w:val="00113C90"/>
    <w:rsid w:val="001330B9"/>
    <w:rsid w:val="001374D2"/>
    <w:rsid w:val="00141267"/>
    <w:rsid w:val="00142159"/>
    <w:rsid w:val="00154560"/>
    <w:rsid w:val="00162596"/>
    <w:rsid w:val="00174F8E"/>
    <w:rsid w:val="00183CA2"/>
    <w:rsid w:val="00187C7B"/>
    <w:rsid w:val="001926C5"/>
    <w:rsid w:val="00197220"/>
    <w:rsid w:val="001A0007"/>
    <w:rsid w:val="001B5241"/>
    <w:rsid w:val="001C52BD"/>
    <w:rsid w:val="001C58A7"/>
    <w:rsid w:val="001C731E"/>
    <w:rsid w:val="001D51FA"/>
    <w:rsid w:val="001D6AAF"/>
    <w:rsid w:val="001E1528"/>
    <w:rsid w:val="001F171C"/>
    <w:rsid w:val="00220981"/>
    <w:rsid w:val="00220A57"/>
    <w:rsid w:val="00220ABE"/>
    <w:rsid w:val="0022743A"/>
    <w:rsid w:val="00227D38"/>
    <w:rsid w:val="00233C85"/>
    <w:rsid w:val="0024087B"/>
    <w:rsid w:val="002453AB"/>
    <w:rsid w:val="00245CDF"/>
    <w:rsid w:val="0025072D"/>
    <w:rsid w:val="002718C4"/>
    <w:rsid w:val="00272687"/>
    <w:rsid w:val="002737F2"/>
    <w:rsid w:val="002745BC"/>
    <w:rsid w:val="00276C96"/>
    <w:rsid w:val="002800A6"/>
    <w:rsid w:val="00284F76"/>
    <w:rsid w:val="00290A52"/>
    <w:rsid w:val="00291876"/>
    <w:rsid w:val="002C0A10"/>
    <w:rsid w:val="002D3C10"/>
    <w:rsid w:val="002D4DD6"/>
    <w:rsid w:val="002E1418"/>
    <w:rsid w:val="003071B0"/>
    <w:rsid w:val="0032032F"/>
    <w:rsid w:val="00323DC2"/>
    <w:rsid w:val="00335103"/>
    <w:rsid w:val="00337953"/>
    <w:rsid w:val="0034524E"/>
    <w:rsid w:val="003472BA"/>
    <w:rsid w:val="00350F18"/>
    <w:rsid w:val="003517A0"/>
    <w:rsid w:val="00357447"/>
    <w:rsid w:val="003718F0"/>
    <w:rsid w:val="00376EB2"/>
    <w:rsid w:val="00377964"/>
    <w:rsid w:val="00382B40"/>
    <w:rsid w:val="00386E36"/>
    <w:rsid w:val="00397E7E"/>
    <w:rsid w:val="003A3708"/>
    <w:rsid w:val="003A4853"/>
    <w:rsid w:val="003B457F"/>
    <w:rsid w:val="003C09E2"/>
    <w:rsid w:val="003C372D"/>
    <w:rsid w:val="003E14CA"/>
    <w:rsid w:val="003E159F"/>
    <w:rsid w:val="003E455F"/>
    <w:rsid w:val="003E7C10"/>
    <w:rsid w:val="00402B00"/>
    <w:rsid w:val="004043FB"/>
    <w:rsid w:val="00405DB6"/>
    <w:rsid w:val="00405FF0"/>
    <w:rsid w:val="00414ABD"/>
    <w:rsid w:val="004165EA"/>
    <w:rsid w:val="004178A9"/>
    <w:rsid w:val="0042772E"/>
    <w:rsid w:val="00433439"/>
    <w:rsid w:val="00435432"/>
    <w:rsid w:val="00437AFD"/>
    <w:rsid w:val="00440FFA"/>
    <w:rsid w:val="00442F9D"/>
    <w:rsid w:val="00446EC0"/>
    <w:rsid w:val="00460D07"/>
    <w:rsid w:val="004767C9"/>
    <w:rsid w:val="004853FD"/>
    <w:rsid w:val="0049142C"/>
    <w:rsid w:val="0049204F"/>
    <w:rsid w:val="00492C68"/>
    <w:rsid w:val="00494D8B"/>
    <w:rsid w:val="004A70BB"/>
    <w:rsid w:val="004B2B06"/>
    <w:rsid w:val="004C3A7D"/>
    <w:rsid w:val="004D17F4"/>
    <w:rsid w:val="004D7109"/>
    <w:rsid w:val="004E0578"/>
    <w:rsid w:val="004E42CB"/>
    <w:rsid w:val="004F1736"/>
    <w:rsid w:val="00506CA2"/>
    <w:rsid w:val="0051189C"/>
    <w:rsid w:val="005135ED"/>
    <w:rsid w:val="00515A07"/>
    <w:rsid w:val="00526041"/>
    <w:rsid w:val="00526AE6"/>
    <w:rsid w:val="00540DCA"/>
    <w:rsid w:val="005424FE"/>
    <w:rsid w:val="005442DA"/>
    <w:rsid w:val="005446B2"/>
    <w:rsid w:val="00544C8A"/>
    <w:rsid w:val="0055581B"/>
    <w:rsid w:val="00563B9D"/>
    <w:rsid w:val="00563E58"/>
    <w:rsid w:val="005662F4"/>
    <w:rsid w:val="005722C0"/>
    <w:rsid w:val="00574F36"/>
    <w:rsid w:val="0058395A"/>
    <w:rsid w:val="0058614C"/>
    <w:rsid w:val="0058778E"/>
    <w:rsid w:val="00594A98"/>
    <w:rsid w:val="005A5237"/>
    <w:rsid w:val="005A7EE1"/>
    <w:rsid w:val="005B4537"/>
    <w:rsid w:val="005B48E4"/>
    <w:rsid w:val="005C19F3"/>
    <w:rsid w:val="005C45C7"/>
    <w:rsid w:val="005E1778"/>
    <w:rsid w:val="005E33B9"/>
    <w:rsid w:val="005E7F9C"/>
    <w:rsid w:val="005F50CC"/>
    <w:rsid w:val="0060039F"/>
    <w:rsid w:val="00600A43"/>
    <w:rsid w:val="006052BE"/>
    <w:rsid w:val="006055AE"/>
    <w:rsid w:val="00623FA5"/>
    <w:rsid w:val="00625A72"/>
    <w:rsid w:val="00630214"/>
    <w:rsid w:val="00631581"/>
    <w:rsid w:val="006414B5"/>
    <w:rsid w:val="00641955"/>
    <w:rsid w:val="0065537E"/>
    <w:rsid w:val="0065708A"/>
    <w:rsid w:val="00660A94"/>
    <w:rsid w:val="00680675"/>
    <w:rsid w:val="006824C2"/>
    <w:rsid w:val="0069479C"/>
    <w:rsid w:val="006A0962"/>
    <w:rsid w:val="006A637E"/>
    <w:rsid w:val="006B45D5"/>
    <w:rsid w:val="006C046C"/>
    <w:rsid w:val="006C46EC"/>
    <w:rsid w:val="006F2EE0"/>
    <w:rsid w:val="006F3E90"/>
    <w:rsid w:val="006F4A06"/>
    <w:rsid w:val="006F4E9F"/>
    <w:rsid w:val="007058BA"/>
    <w:rsid w:val="00706F3D"/>
    <w:rsid w:val="007077F0"/>
    <w:rsid w:val="00711C08"/>
    <w:rsid w:val="0072197B"/>
    <w:rsid w:val="0072388D"/>
    <w:rsid w:val="0072465C"/>
    <w:rsid w:val="00732037"/>
    <w:rsid w:val="00732C71"/>
    <w:rsid w:val="007335A4"/>
    <w:rsid w:val="0074383E"/>
    <w:rsid w:val="0075072B"/>
    <w:rsid w:val="00752DE8"/>
    <w:rsid w:val="00755D7B"/>
    <w:rsid w:val="00755ED7"/>
    <w:rsid w:val="00771681"/>
    <w:rsid w:val="0077347C"/>
    <w:rsid w:val="00781603"/>
    <w:rsid w:val="00787313"/>
    <w:rsid w:val="00794B6E"/>
    <w:rsid w:val="00796F57"/>
    <w:rsid w:val="007B46B6"/>
    <w:rsid w:val="007B6598"/>
    <w:rsid w:val="007C3DE3"/>
    <w:rsid w:val="007C5796"/>
    <w:rsid w:val="007E0F31"/>
    <w:rsid w:val="0080240A"/>
    <w:rsid w:val="00802D56"/>
    <w:rsid w:val="008065CC"/>
    <w:rsid w:val="00811EC7"/>
    <w:rsid w:val="00815E6C"/>
    <w:rsid w:val="00822538"/>
    <w:rsid w:val="00822772"/>
    <w:rsid w:val="00822C6A"/>
    <w:rsid w:val="00825425"/>
    <w:rsid w:val="00832A34"/>
    <w:rsid w:val="008349E1"/>
    <w:rsid w:val="00835982"/>
    <w:rsid w:val="00843FA0"/>
    <w:rsid w:val="008535D1"/>
    <w:rsid w:val="008540C9"/>
    <w:rsid w:val="00860249"/>
    <w:rsid w:val="0086359E"/>
    <w:rsid w:val="00870254"/>
    <w:rsid w:val="008738CA"/>
    <w:rsid w:val="00875562"/>
    <w:rsid w:val="00880710"/>
    <w:rsid w:val="00880F8E"/>
    <w:rsid w:val="008825F0"/>
    <w:rsid w:val="0088653E"/>
    <w:rsid w:val="00890D7E"/>
    <w:rsid w:val="00891797"/>
    <w:rsid w:val="008A7F2B"/>
    <w:rsid w:val="008B0C34"/>
    <w:rsid w:val="008B1561"/>
    <w:rsid w:val="008B6B99"/>
    <w:rsid w:val="008C0DB2"/>
    <w:rsid w:val="008C4795"/>
    <w:rsid w:val="008D1C01"/>
    <w:rsid w:val="008D2540"/>
    <w:rsid w:val="008E01A8"/>
    <w:rsid w:val="008F024F"/>
    <w:rsid w:val="009029C9"/>
    <w:rsid w:val="00904CAA"/>
    <w:rsid w:val="009064B4"/>
    <w:rsid w:val="00910F95"/>
    <w:rsid w:val="00911B69"/>
    <w:rsid w:val="0091590E"/>
    <w:rsid w:val="009162D7"/>
    <w:rsid w:val="009226BC"/>
    <w:rsid w:val="00924D64"/>
    <w:rsid w:val="0093182F"/>
    <w:rsid w:val="00940352"/>
    <w:rsid w:val="00951188"/>
    <w:rsid w:val="00963E33"/>
    <w:rsid w:val="00971A5A"/>
    <w:rsid w:val="00973769"/>
    <w:rsid w:val="00975D01"/>
    <w:rsid w:val="00980481"/>
    <w:rsid w:val="009821F6"/>
    <w:rsid w:val="0098228B"/>
    <w:rsid w:val="009848EE"/>
    <w:rsid w:val="009B24CD"/>
    <w:rsid w:val="009C4AB2"/>
    <w:rsid w:val="009C62CD"/>
    <w:rsid w:val="009C7194"/>
    <w:rsid w:val="009D4DD7"/>
    <w:rsid w:val="009E2AAA"/>
    <w:rsid w:val="009E49F8"/>
    <w:rsid w:val="009E6869"/>
    <w:rsid w:val="009E7918"/>
    <w:rsid w:val="009F7F53"/>
    <w:rsid w:val="00A02AC8"/>
    <w:rsid w:val="00A11674"/>
    <w:rsid w:val="00A12E32"/>
    <w:rsid w:val="00A1485D"/>
    <w:rsid w:val="00A31B48"/>
    <w:rsid w:val="00A35EF2"/>
    <w:rsid w:val="00A36595"/>
    <w:rsid w:val="00A633A3"/>
    <w:rsid w:val="00A704BA"/>
    <w:rsid w:val="00A710E5"/>
    <w:rsid w:val="00A82A93"/>
    <w:rsid w:val="00A90C0E"/>
    <w:rsid w:val="00A92D5B"/>
    <w:rsid w:val="00A968D8"/>
    <w:rsid w:val="00AA0B25"/>
    <w:rsid w:val="00AA364C"/>
    <w:rsid w:val="00AB2020"/>
    <w:rsid w:val="00AB75DD"/>
    <w:rsid w:val="00AD0412"/>
    <w:rsid w:val="00AD2157"/>
    <w:rsid w:val="00AD3C23"/>
    <w:rsid w:val="00AD3C3C"/>
    <w:rsid w:val="00AE2AA5"/>
    <w:rsid w:val="00AF6DC0"/>
    <w:rsid w:val="00B0335E"/>
    <w:rsid w:val="00B04F8D"/>
    <w:rsid w:val="00B06647"/>
    <w:rsid w:val="00B1331F"/>
    <w:rsid w:val="00B148A6"/>
    <w:rsid w:val="00B156AF"/>
    <w:rsid w:val="00B17F5B"/>
    <w:rsid w:val="00B22A18"/>
    <w:rsid w:val="00B33510"/>
    <w:rsid w:val="00B343C0"/>
    <w:rsid w:val="00B36EC0"/>
    <w:rsid w:val="00B4452F"/>
    <w:rsid w:val="00B46853"/>
    <w:rsid w:val="00B576BC"/>
    <w:rsid w:val="00B60295"/>
    <w:rsid w:val="00B64215"/>
    <w:rsid w:val="00B64E25"/>
    <w:rsid w:val="00B660C3"/>
    <w:rsid w:val="00B76131"/>
    <w:rsid w:val="00B76D74"/>
    <w:rsid w:val="00B76F1B"/>
    <w:rsid w:val="00B82A92"/>
    <w:rsid w:val="00B82E17"/>
    <w:rsid w:val="00B83833"/>
    <w:rsid w:val="00B8575E"/>
    <w:rsid w:val="00B87023"/>
    <w:rsid w:val="00B91F42"/>
    <w:rsid w:val="00B93495"/>
    <w:rsid w:val="00B958FC"/>
    <w:rsid w:val="00BA16E8"/>
    <w:rsid w:val="00BA4C6A"/>
    <w:rsid w:val="00BA7AF2"/>
    <w:rsid w:val="00BC1865"/>
    <w:rsid w:val="00BC29BD"/>
    <w:rsid w:val="00BD018F"/>
    <w:rsid w:val="00BD31E6"/>
    <w:rsid w:val="00BD7D10"/>
    <w:rsid w:val="00BF194F"/>
    <w:rsid w:val="00BF2426"/>
    <w:rsid w:val="00BF7C77"/>
    <w:rsid w:val="00C041CB"/>
    <w:rsid w:val="00C0539F"/>
    <w:rsid w:val="00C16A6F"/>
    <w:rsid w:val="00C42B6B"/>
    <w:rsid w:val="00C45567"/>
    <w:rsid w:val="00C52F59"/>
    <w:rsid w:val="00C53B21"/>
    <w:rsid w:val="00C5510D"/>
    <w:rsid w:val="00C61636"/>
    <w:rsid w:val="00C644E2"/>
    <w:rsid w:val="00C65621"/>
    <w:rsid w:val="00C749A0"/>
    <w:rsid w:val="00C74B83"/>
    <w:rsid w:val="00C76467"/>
    <w:rsid w:val="00C966E9"/>
    <w:rsid w:val="00CA19D4"/>
    <w:rsid w:val="00CA3397"/>
    <w:rsid w:val="00CB1B12"/>
    <w:rsid w:val="00CB5206"/>
    <w:rsid w:val="00CB5662"/>
    <w:rsid w:val="00CC19DB"/>
    <w:rsid w:val="00CC6828"/>
    <w:rsid w:val="00CC6EEF"/>
    <w:rsid w:val="00CD01A3"/>
    <w:rsid w:val="00CD270B"/>
    <w:rsid w:val="00CE552D"/>
    <w:rsid w:val="00CF104B"/>
    <w:rsid w:val="00CF740A"/>
    <w:rsid w:val="00D104D5"/>
    <w:rsid w:val="00D11AD4"/>
    <w:rsid w:val="00D3123E"/>
    <w:rsid w:val="00D3618E"/>
    <w:rsid w:val="00D374DC"/>
    <w:rsid w:val="00D42460"/>
    <w:rsid w:val="00D4381D"/>
    <w:rsid w:val="00D50253"/>
    <w:rsid w:val="00D51EF5"/>
    <w:rsid w:val="00D563B8"/>
    <w:rsid w:val="00D7043D"/>
    <w:rsid w:val="00D7458E"/>
    <w:rsid w:val="00D77397"/>
    <w:rsid w:val="00D778F4"/>
    <w:rsid w:val="00D83288"/>
    <w:rsid w:val="00DA1E29"/>
    <w:rsid w:val="00DA3AA9"/>
    <w:rsid w:val="00DB1525"/>
    <w:rsid w:val="00DB6024"/>
    <w:rsid w:val="00DC0DCD"/>
    <w:rsid w:val="00DD1256"/>
    <w:rsid w:val="00DD25AB"/>
    <w:rsid w:val="00DD58A8"/>
    <w:rsid w:val="00DD70D3"/>
    <w:rsid w:val="00DE3749"/>
    <w:rsid w:val="00DF18C3"/>
    <w:rsid w:val="00DF20FD"/>
    <w:rsid w:val="00DF3DAA"/>
    <w:rsid w:val="00DF4C4A"/>
    <w:rsid w:val="00E019D8"/>
    <w:rsid w:val="00E12926"/>
    <w:rsid w:val="00E1674C"/>
    <w:rsid w:val="00E16B4D"/>
    <w:rsid w:val="00E20C26"/>
    <w:rsid w:val="00E21FB9"/>
    <w:rsid w:val="00E274A7"/>
    <w:rsid w:val="00E30E46"/>
    <w:rsid w:val="00E32812"/>
    <w:rsid w:val="00E3567C"/>
    <w:rsid w:val="00E35C15"/>
    <w:rsid w:val="00E35F89"/>
    <w:rsid w:val="00E407E4"/>
    <w:rsid w:val="00E42065"/>
    <w:rsid w:val="00E42B66"/>
    <w:rsid w:val="00E44D1A"/>
    <w:rsid w:val="00E46151"/>
    <w:rsid w:val="00E464FA"/>
    <w:rsid w:val="00E5002C"/>
    <w:rsid w:val="00E53BD2"/>
    <w:rsid w:val="00E54240"/>
    <w:rsid w:val="00E54458"/>
    <w:rsid w:val="00E65ED0"/>
    <w:rsid w:val="00E66202"/>
    <w:rsid w:val="00E67AD7"/>
    <w:rsid w:val="00E71A6D"/>
    <w:rsid w:val="00E76624"/>
    <w:rsid w:val="00E82D00"/>
    <w:rsid w:val="00E9199E"/>
    <w:rsid w:val="00E9446E"/>
    <w:rsid w:val="00E94A67"/>
    <w:rsid w:val="00EA1325"/>
    <w:rsid w:val="00EA673F"/>
    <w:rsid w:val="00EB0541"/>
    <w:rsid w:val="00EB4BA9"/>
    <w:rsid w:val="00EC272C"/>
    <w:rsid w:val="00ED026B"/>
    <w:rsid w:val="00EE3CED"/>
    <w:rsid w:val="00EE6C52"/>
    <w:rsid w:val="00EF07FE"/>
    <w:rsid w:val="00EF0F54"/>
    <w:rsid w:val="00EF7292"/>
    <w:rsid w:val="00F05391"/>
    <w:rsid w:val="00F07081"/>
    <w:rsid w:val="00F17D81"/>
    <w:rsid w:val="00F21544"/>
    <w:rsid w:val="00F26D98"/>
    <w:rsid w:val="00F309E1"/>
    <w:rsid w:val="00F30A2F"/>
    <w:rsid w:val="00F34ABE"/>
    <w:rsid w:val="00F361C2"/>
    <w:rsid w:val="00F5064B"/>
    <w:rsid w:val="00F63A10"/>
    <w:rsid w:val="00F645EF"/>
    <w:rsid w:val="00F65F90"/>
    <w:rsid w:val="00F6688D"/>
    <w:rsid w:val="00F71C1B"/>
    <w:rsid w:val="00F75DB8"/>
    <w:rsid w:val="00F8330A"/>
    <w:rsid w:val="00F875C6"/>
    <w:rsid w:val="00F916D2"/>
    <w:rsid w:val="00F943B3"/>
    <w:rsid w:val="00FA1472"/>
    <w:rsid w:val="00FA1766"/>
    <w:rsid w:val="00FA229E"/>
    <w:rsid w:val="00FA281D"/>
    <w:rsid w:val="00FA2B37"/>
    <w:rsid w:val="00FA6501"/>
    <w:rsid w:val="00FB0220"/>
    <w:rsid w:val="00FB2AD2"/>
    <w:rsid w:val="00FB78E8"/>
    <w:rsid w:val="00FC318B"/>
    <w:rsid w:val="00FD01E1"/>
    <w:rsid w:val="00FD1425"/>
    <w:rsid w:val="00FD1908"/>
    <w:rsid w:val="00FD1920"/>
    <w:rsid w:val="00FD6246"/>
    <w:rsid w:val="00FF5FC4"/>
    <w:rsid w:val="00FF686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D419-6365-4284-8F0F-E437279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Колобов</dc:creator>
  <cp:keywords/>
  <dc:description/>
  <cp:lastModifiedBy>Михаил Борисович Шейнов</cp:lastModifiedBy>
  <cp:revision>9</cp:revision>
  <dcterms:created xsi:type="dcterms:W3CDTF">2017-12-19T13:58:00Z</dcterms:created>
  <dcterms:modified xsi:type="dcterms:W3CDTF">2018-08-22T12:19:00Z</dcterms:modified>
</cp:coreProperties>
</file>