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35" w:rsidRDefault="00A70635" w:rsidP="00A70635">
      <w:pPr>
        <w:pStyle w:val="ConsPlusNormal"/>
        <w:jc w:val="right"/>
        <w:outlineLvl w:val="1"/>
      </w:pPr>
      <w:r>
        <w:t>Приложение N 1</w:t>
      </w:r>
    </w:p>
    <w:p w:rsidR="00A70635" w:rsidRDefault="00A70635" w:rsidP="00A70635">
      <w:pPr>
        <w:pStyle w:val="ConsPlusNormal"/>
        <w:jc w:val="right"/>
      </w:pPr>
      <w:r>
        <w:t>к Методике определения сметной стоимости строительства, реконструкции, капитального ремонта,</w:t>
      </w:r>
    </w:p>
    <w:p w:rsidR="00A70635" w:rsidRDefault="00A70635" w:rsidP="00A70635">
      <w:pPr>
        <w:pStyle w:val="ConsPlusNormal"/>
        <w:jc w:val="right"/>
      </w:pPr>
      <w:r>
        <w:t>сноса объектов капитального строительства, работ по сохранению объектов культурного наследия</w:t>
      </w:r>
    </w:p>
    <w:p w:rsidR="00A70635" w:rsidRDefault="00A70635" w:rsidP="00A70635">
      <w:pPr>
        <w:pStyle w:val="ConsPlusNormal"/>
        <w:jc w:val="right"/>
      </w:pPr>
      <w:r>
        <w:t>(памятников истории и культуры) народов Российской Федерации на территории Российской Федерации,</w:t>
      </w:r>
    </w:p>
    <w:p w:rsidR="00A70635" w:rsidRDefault="00A70635" w:rsidP="00A70635">
      <w:pPr>
        <w:pStyle w:val="ConsPlusNormal"/>
        <w:jc w:val="right"/>
      </w:pPr>
      <w:r>
        <w:t>утвержденной приказом Министерства строительства и жилищно-коммунального хозяйства Российской Федерации</w:t>
      </w:r>
    </w:p>
    <w:p w:rsidR="00A70635" w:rsidRDefault="00A70635" w:rsidP="00A70635">
      <w:pPr>
        <w:pStyle w:val="ConsPlusNormal"/>
        <w:jc w:val="right"/>
      </w:pPr>
      <w:r>
        <w:t>от 4 августа 2020 г. N 421/</w:t>
      </w:r>
      <w:proofErr w:type="spellStart"/>
      <w:r>
        <w:t>пр</w:t>
      </w:r>
      <w:proofErr w:type="spellEnd"/>
    </w:p>
    <w:p w:rsidR="00A70635" w:rsidRDefault="00A70635" w:rsidP="00A70635">
      <w:pPr>
        <w:pStyle w:val="ConsPlusNormal"/>
        <w:jc w:val="right"/>
      </w:pPr>
      <w:r>
        <w:t>(рекомендуемый образец)</w:t>
      </w:r>
    </w:p>
    <w:tbl>
      <w:tblPr>
        <w:tblW w:w="147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5"/>
      </w:tblGrid>
      <w:tr w:rsidR="00A70635" w:rsidTr="00A70635">
        <w:tc>
          <w:tcPr>
            <w:tcW w:w="14742" w:type="dxa"/>
            <w:vAlign w:val="bottom"/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Конъюнктурный анализ</w:t>
            </w:r>
          </w:p>
        </w:tc>
      </w:tr>
      <w:tr w:rsidR="00A70635" w:rsidTr="00A70635">
        <w:trPr>
          <w:trHeight w:val="95"/>
        </w:trPr>
        <w:tc>
          <w:tcPr>
            <w:tcW w:w="14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A70635" w:rsidTr="00A70635">
        <w:tc>
          <w:tcPr>
            <w:tcW w:w="14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(наименование объекта строительства)</w:t>
            </w:r>
          </w:p>
        </w:tc>
      </w:tr>
    </w:tbl>
    <w:p w:rsidR="00A70635" w:rsidRDefault="00A70635" w:rsidP="00A70635">
      <w:pPr>
        <w:pStyle w:val="ConsPlusNormal"/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623"/>
        <w:gridCol w:w="733"/>
        <w:gridCol w:w="887"/>
        <w:gridCol w:w="585"/>
        <w:gridCol w:w="773"/>
        <w:gridCol w:w="931"/>
        <w:gridCol w:w="768"/>
        <w:gridCol w:w="1094"/>
        <w:gridCol w:w="581"/>
        <w:gridCol w:w="576"/>
        <w:gridCol w:w="998"/>
        <w:gridCol w:w="658"/>
        <w:gridCol w:w="576"/>
        <w:gridCol w:w="1559"/>
        <w:gridCol w:w="571"/>
        <w:gridCol w:w="576"/>
        <w:gridCol w:w="653"/>
        <w:gridCol w:w="758"/>
        <w:gridCol w:w="595"/>
      </w:tblGrid>
      <w:tr w:rsidR="00A70635" w:rsidTr="00A70635"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строительного ресурса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строительного ресурса, затрат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строительного ресурса, затрат в обосновывающем документе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 строительного ресурса, затрат в обосновывающем документе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 отпускная цена за ед. изм. в обосновывающем документе с НДС в руб.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Текущая отпускная цена за ед. изм. без НДС в руб. в соответствии с графой 5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 перевозки без НДС в руб. за ед. изм.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Заготовительно-складские расходы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Сметная цена без НДС в руб. за ед. изм.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Квартал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производителя/поставщика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КПП организации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 организации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Гиперссылка на веб-сайт производителя/поставщика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Населенный пункт расположения склада производителя/поставщика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 организации (производитель (</w:t>
            </w:r>
            <w:proofErr w:type="gramStart"/>
            <w:r>
              <w:rPr>
                <w:lang w:eastAsia="en-US"/>
              </w:rPr>
              <w:t>1)/</w:t>
            </w:r>
            <w:proofErr w:type="gramEnd"/>
            <w:r>
              <w:rPr>
                <w:lang w:eastAsia="en-US"/>
              </w:rPr>
              <w:t>поставщик (2)</w:t>
            </w:r>
          </w:p>
        </w:tc>
      </w:tr>
      <w:tr w:rsidR="00A70635" w:rsidTr="00A70635"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5" w:rsidRDefault="00A70635">
            <w:pPr>
              <w:spacing w:after="0"/>
              <w:rPr>
                <w:rFonts w:eastAsia="Times New Roman" w:cs="Calibri"/>
              </w:rPr>
            </w:pPr>
          </w:p>
        </w:tc>
      </w:tr>
      <w:tr w:rsidR="00A70635" w:rsidTr="00A7063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0" w:name="P852"/>
            <w:bookmarkEnd w:id="0"/>
            <w:r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1" w:name="P853"/>
            <w:bookmarkEnd w:id="1"/>
            <w:r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2" w:name="P855"/>
            <w:bookmarkEnd w:id="2"/>
            <w:r>
              <w:rPr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3" w:name="P860"/>
            <w:bookmarkEnd w:id="3"/>
            <w:r>
              <w:rPr>
                <w:lang w:eastAsia="en-US"/>
              </w:rP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4" w:name="P862"/>
            <w:bookmarkEnd w:id="4"/>
            <w:r>
              <w:rPr>
                <w:lang w:eastAsia="en-US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5" w:name="P867"/>
            <w:bookmarkEnd w:id="5"/>
            <w:r>
              <w:rPr>
                <w:lang w:eastAsia="en-US"/>
              </w:rPr>
              <w:t>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6" w:name="P869"/>
            <w:bookmarkEnd w:id="6"/>
            <w:r>
              <w:rPr>
                <w:lang w:eastAsia="en-US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bookmarkStart w:id="7" w:name="P871"/>
            <w:bookmarkEnd w:id="7"/>
            <w:r>
              <w:rPr>
                <w:lang w:eastAsia="en-US"/>
              </w:rPr>
              <w:t>20</w:t>
            </w:r>
          </w:p>
        </w:tc>
      </w:tr>
      <w:tr w:rsidR="00A70635" w:rsidTr="00A7063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Поставщик 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A70635" w:rsidTr="00A7063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Поставщик 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A70635" w:rsidTr="00A7063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Поставщик 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5" w:rsidRDefault="00A7063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A70635" w:rsidRDefault="00A70635" w:rsidP="00A70635">
      <w:pPr>
        <w:pStyle w:val="ConsPlusNormal"/>
      </w:pPr>
    </w:p>
    <w:p w:rsidR="00A70635" w:rsidRDefault="00A70635" w:rsidP="00A7063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9895"/>
      </w:tblGrid>
      <w:tr w:rsidR="00A70635" w:rsidTr="00A70635">
        <w:tc>
          <w:tcPr>
            <w:tcW w:w="1304" w:type="dxa"/>
            <w:vAlign w:val="bottom"/>
            <w:hideMark/>
          </w:tcPr>
          <w:p w:rsidR="00A70635" w:rsidRDefault="00A70635">
            <w:pPr>
              <w:pStyle w:val="ConsPlusNormal"/>
              <w:spacing w:line="256" w:lineRule="auto"/>
              <w:ind w:left="80"/>
              <w:rPr>
                <w:lang w:eastAsia="en-US"/>
              </w:rPr>
            </w:pPr>
            <w:r>
              <w:rPr>
                <w:lang w:eastAsia="en-US"/>
              </w:rPr>
              <w:t>Составил</w:t>
            </w:r>
          </w:p>
        </w:tc>
        <w:tc>
          <w:tcPr>
            <w:tcW w:w="9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635" w:rsidRDefault="00A70635">
            <w:pPr>
              <w:pStyle w:val="ConsPlusNormal"/>
              <w:spacing w:line="256" w:lineRule="auto"/>
              <w:ind w:left="-345"/>
              <w:rPr>
                <w:lang w:eastAsia="en-US"/>
              </w:rPr>
            </w:pPr>
          </w:p>
        </w:tc>
      </w:tr>
      <w:tr w:rsidR="00A70635" w:rsidTr="00A70635">
        <w:tc>
          <w:tcPr>
            <w:tcW w:w="1304" w:type="dxa"/>
          </w:tcPr>
          <w:p w:rsidR="00A70635" w:rsidRDefault="00A70635">
            <w:pPr>
              <w:pStyle w:val="ConsPlusNormal"/>
              <w:spacing w:line="256" w:lineRule="auto"/>
              <w:ind w:left="80"/>
              <w:rPr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0635" w:rsidRDefault="00A70635">
            <w:pPr>
              <w:pStyle w:val="ConsPlusNormal"/>
              <w:spacing w:line="256" w:lineRule="auto"/>
              <w:ind w:left="-3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[должность, подпись (инициалы, фамилия)]</w:t>
            </w:r>
          </w:p>
        </w:tc>
      </w:tr>
      <w:tr w:rsidR="00A70635" w:rsidTr="00A70635">
        <w:tc>
          <w:tcPr>
            <w:tcW w:w="1304" w:type="dxa"/>
            <w:vAlign w:val="bottom"/>
            <w:hideMark/>
          </w:tcPr>
          <w:p w:rsidR="00A70635" w:rsidRDefault="00A70635">
            <w:pPr>
              <w:pStyle w:val="ConsPlusNormal"/>
              <w:spacing w:line="256" w:lineRule="auto"/>
              <w:ind w:left="80"/>
              <w:rPr>
                <w:lang w:eastAsia="en-US"/>
              </w:rPr>
            </w:pPr>
            <w:r>
              <w:rPr>
                <w:lang w:eastAsia="en-US"/>
              </w:rPr>
              <w:t>Проверил</w:t>
            </w:r>
          </w:p>
        </w:tc>
        <w:tc>
          <w:tcPr>
            <w:tcW w:w="9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635" w:rsidRDefault="00A70635">
            <w:pPr>
              <w:pStyle w:val="ConsPlusNormal"/>
              <w:spacing w:line="256" w:lineRule="auto"/>
              <w:ind w:left="-345"/>
              <w:rPr>
                <w:lang w:eastAsia="en-US"/>
              </w:rPr>
            </w:pPr>
          </w:p>
        </w:tc>
      </w:tr>
      <w:tr w:rsidR="00A70635" w:rsidTr="00A70635">
        <w:tc>
          <w:tcPr>
            <w:tcW w:w="1304" w:type="dxa"/>
          </w:tcPr>
          <w:p w:rsidR="00A70635" w:rsidRDefault="00A70635">
            <w:pPr>
              <w:pStyle w:val="ConsPlusNormal"/>
              <w:spacing w:line="256" w:lineRule="auto"/>
              <w:ind w:left="-345"/>
              <w:rPr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70635" w:rsidRDefault="00A70635">
            <w:pPr>
              <w:pStyle w:val="ConsPlusNormal"/>
              <w:spacing w:line="256" w:lineRule="auto"/>
              <w:ind w:left="-3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[должность, подпись (инициалы, фамилия)]</w:t>
            </w:r>
          </w:p>
        </w:tc>
      </w:tr>
    </w:tbl>
    <w:p w:rsidR="00A70635" w:rsidRDefault="00A70635" w:rsidP="00A70635">
      <w:pPr>
        <w:pStyle w:val="ConsPlusNormal"/>
        <w:jc w:val="both"/>
      </w:pPr>
    </w:p>
    <w:p w:rsidR="00A70635" w:rsidRDefault="00A70635" w:rsidP="00A70635">
      <w:pPr>
        <w:pStyle w:val="ConsPlusNormal"/>
        <w:ind w:firstLine="540"/>
        <w:jc w:val="both"/>
      </w:pPr>
      <w:r>
        <w:t>Примечание.</w:t>
      </w:r>
    </w:p>
    <w:p w:rsidR="00A70635" w:rsidRDefault="00A70635" w:rsidP="00A70635">
      <w:pPr>
        <w:pStyle w:val="ConsPlusNormal"/>
        <w:spacing w:before="220"/>
        <w:ind w:firstLine="540"/>
        <w:jc w:val="both"/>
      </w:pPr>
      <w:r>
        <w:t xml:space="preserve">1. В </w:t>
      </w:r>
      <w:hyperlink w:anchor="P852" w:history="1">
        <w:r>
          <w:rPr>
            <w:rStyle w:val="a3"/>
            <w:u w:val="none"/>
          </w:rPr>
          <w:t>графе 1</w:t>
        </w:r>
      </w:hyperlink>
      <w:r>
        <w:t xml:space="preserve"> указывается номер, состоящих из двух групп цифр, разделенных точкой, первая группа цифр которого соответствует номеру ресурса по порядку, вторая - порядковому номеру обосновывающего документа, например, 1.1.</w:t>
      </w:r>
    </w:p>
    <w:p w:rsidR="00A70635" w:rsidRDefault="00A70635" w:rsidP="00A70635">
      <w:pPr>
        <w:pStyle w:val="ConsPlusNormal"/>
        <w:spacing w:before="220"/>
        <w:ind w:firstLine="540"/>
        <w:jc w:val="both"/>
      </w:pPr>
      <w:r>
        <w:t xml:space="preserve">2. В </w:t>
      </w:r>
      <w:hyperlink w:anchor="P853" w:history="1">
        <w:r>
          <w:rPr>
            <w:rStyle w:val="a3"/>
            <w:u w:val="none"/>
          </w:rPr>
          <w:t>графе 2</w:t>
        </w:r>
      </w:hyperlink>
      <w:r>
        <w:t xml:space="preserve"> для каждой позиции материальных ресурсов и оборудования указывается код строительного ресурса в соответствии с </w:t>
      </w:r>
      <w:hyperlink w:anchor="P147" w:history="1">
        <w:r>
          <w:rPr>
            <w:rStyle w:val="a3"/>
            <w:u w:val="none"/>
          </w:rPr>
          <w:t>пунктами 23</w:t>
        </w:r>
      </w:hyperlink>
      <w:r>
        <w:t xml:space="preserve"> и </w:t>
      </w:r>
      <w:hyperlink w:anchor="P149" w:history="1">
        <w:r>
          <w:rPr>
            <w:rStyle w:val="a3"/>
            <w:u w:val="none"/>
          </w:rPr>
          <w:t>24</w:t>
        </w:r>
      </w:hyperlink>
      <w:r>
        <w:t xml:space="preserve"> Методики.</w:t>
      </w:r>
    </w:p>
    <w:p w:rsidR="00A70635" w:rsidRDefault="00A70635" w:rsidP="00A70635">
      <w:pPr>
        <w:pStyle w:val="ConsPlusNormal"/>
        <w:spacing w:before="220"/>
        <w:ind w:firstLine="540"/>
        <w:jc w:val="both"/>
      </w:pPr>
      <w:r>
        <w:t>3. Анализируются сопоставимые элементы стоимости материальных ресурсов (отпускные цены, сметные с учетом транспортных затрат), затрат.</w:t>
      </w:r>
    </w:p>
    <w:p w:rsidR="00A70635" w:rsidRDefault="00A70635" w:rsidP="00A70635">
      <w:pPr>
        <w:pStyle w:val="ConsPlusNormal"/>
        <w:spacing w:before="220"/>
        <w:ind w:firstLine="540"/>
        <w:jc w:val="both"/>
      </w:pPr>
      <w:r>
        <w:t xml:space="preserve">4. В случае, если текущая отпускная цена за ед. изм. в обосновывающем документе указана с учетом доставки до </w:t>
      </w:r>
      <w:proofErr w:type="spellStart"/>
      <w:r>
        <w:t>приобъектного</w:t>
      </w:r>
      <w:proofErr w:type="spellEnd"/>
      <w:r>
        <w:t xml:space="preserve"> склада, то </w:t>
      </w:r>
      <w:hyperlink w:anchor="P860" w:history="1">
        <w:r>
          <w:rPr>
            <w:rStyle w:val="a3"/>
            <w:u w:val="none"/>
          </w:rPr>
          <w:t>графа 9</w:t>
        </w:r>
      </w:hyperlink>
      <w:r>
        <w:t xml:space="preserve"> не заполняется.</w:t>
      </w:r>
    </w:p>
    <w:p w:rsidR="00A70635" w:rsidRDefault="00A70635" w:rsidP="00A70635">
      <w:pPr>
        <w:pStyle w:val="ConsPlusNormal"/>
        <w:spacing w:before="220"/>
        <w:ind w:firstLine="540"/>
        <w:jc w:val="both"/>
      </w:pPr>
      <w:r>
        <w:t xml:space="preserve">5. Данные </w:t>
      </w:r>
      <w:hyperlink w:anchor="P853" w:history="1">
        <w:r>
          <w:rPr>
            <w:rStyle w:val="a3"/>
            <w:u w:val="none"/>
          </w:rPr>
          <w:t>граф 2</w:t>
        </w:r>
      </w:hyperlink>
      <w:r>
        <w:t xml:space="preserve">, </w:t>
      </w:r>
      <w:hyperlink w:anchor="P855" w:history="1">
        <w:r>
          <w:rPr>
            <w:rStyle w:val="a3"/>
            <w:u w:val="none"/>
          </w:rPr>
          <w:t>4</w:t>
        </w:r>
      </w:hyperlink>
      <w:r>
        <w:t xml:space="preserve">, </w:t>
      </w:r>
      <w:hyperlink w:anchor="P860" w:history="1">
        <w:r>
          <w:rPr>
            <w:rStyle w:val="a3"/>
            <w:u w:val="none"/>
          </w:rPr>
          <w:t>9</w:t>
        </w:r>
      </w:hyperlink>
      <w:r>
        <w:t xml:space="preserve"> - </w:t>
      </w:r>
      <w:hyperlink w:anchor="P862" w:history="1">
        <w:r>
          <w:rPr>
            <w:rStyle w:val="a3"/>
            <w:u w:val="none"/>
          </w:rPr>
          <w:t>11</w:t>
        </w:r>
      </w:hyperlink>
      <w:r>
        <w:t xml:space="preserve">, </w:t>
      </w:r>
      <w:hyperlink w:anchor="P871" w:history="1">
        <w:r>
          <w:rPr>
            <w:rStyle w:val="a3"/>
            <w:u w:val="none"/>
          </w:rPr>
          <w:t>20</w:t>
        </w:r>
      </w:hyperlink>
      <w:r>
        <w:t xml:space="preserve"> для прочих затрат заполняются при их наличии.</w:t>
      </w:r>
    </w:p>
    <w:p w:rsidR="00A70635" w:rsidRDefault="00A70635" w:rsidP="00A70635">
      <w:pPr>
        <w:pStyle w:val="ConsPlusNormal"/>
        <w:spacing w:before="220"/>
        <w:ind w:firstLine="540"/>
        <w:jc w:val="both"/>
      </w:pPr>
      <w:r>
        <w:t xml:space="preserve">6. При отсутствии в обосновывающих стоимость материальных ресурсов, оборудования, работ и услуг документах производителей и (или) поставщиков сведений по </w:t>
      </w:r>
      <w:hyperlink w:anchor="P867" w:history="1">
        <w:r>
          <w:rPr>
            <w:rStyle w:val="a3"/>
            <w:u w:val="none"/>
          </w:rPr>
          <w:t>графам 16</w:t>
        </w:r>
      </w:hyperlink>
      <w:r>
        <w:t xml:space="preserve"> - </w:t>
      </w:r>
      <w:hyperlink w:anchor="P871" w:history="1">
        <w:r>
          <w:rPr>
            <w:rStyle w:val="a3"/>
            <w:u w:val="none"/>
          </w:rPr>
          <w:t>20</w:t>
        </w:r>
      </w:hyperlink>
      <w:r>
        <w:t xml:space="preserve"> соответствующие графы формы конъюнктурного анализа заполняются на основании информации из открытых и (или) официальных источников.</w:t>
      </w:r>
    </w:p>
    <w:p w:rsidR="00A70635" w:rsidRDefault="00A70635" w:rsidP="00A70635">
      <w:pPr>
        <w:pStyle w:val="ConsPlusNormal"/>
        <w:spacing w:before="220"/>
        <w:ind w:firstLine="540"/>
        <w:jc w:val="both"/>
      </w:pPr>
      <w:r>
        <w:t xml:space="preserve">7. При отсутствии у производителя (поставщика) веб-сайта </w:t>
      </w:r>
      <w:hyperlink w:anchor="P869" w:history="1">
        <w:r>
          <w:rPr>
            <w:rStyle w:val="a3"/>
            <w:u w:val="none"/>
          </w:rPr>
          <w:t>графа 18</w:t>
        </w:r>
      </w:hyperlink>
      <w:r>
        <w:t xml:space="preserve"> не заполняется.</w:t>
      </w:r>
    </w:p>
    <w:p w:rsidR="00A70635" w:rsidRDefault="00A70635" w:rsidP="00A70635">
      <w:pPr>
        <w:pStyle w:val="ConsPlusNormal"/>
        <w:ind w:firstLine="540"/>
        <w:jc w:val="both"/>
      </w:pPr>
    </w:p>
    <w:p w:rsidR="00A70635" w:rsidRDefault="00A70635" w:rsidP="00A70635">
      <w:pPr>
        <w:pStyle w:val="ConsPlusNormal"/>
      </w:pPr>
    </w:p>
    <w:p w:rsidR="001A498D" w:rsidRDefault="00A70635">
      <w:bookmarkStart w:id="8" w:name="_GoBack"/>
      <w:bookmarkEnd w:id="8"/>
    </w:p>
    <w:sectPr w:rsidR="001A498D" w:rsidSect="00A706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C"/>
    <w:rsid w:val="003E3D28"/>
    <w:rsid w:val="005A78DC"/>
    <w:rsid w:val="00A70635"/>
    <w:rsid w:val="00D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56AD9-669A-417D-94F1-CFE3E083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A70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Редька</dc:creator>
  <cp:keywords/>
  <dc:description/>
  <cp:lastModifiedBy>Елена Викторовна Редька</cp:lastModifiedBy>
  <cp:revision>2</cp:revision>
  <dcterms:created xsi:type="dcterms:W3CDTF">2024-03-21T09:36:00Z</dcterms:created>
  <dcterms:modified xsi:type="dcterms:W3CDTF">2024-03-21T09:37:00Z</dcterms:modified>
</cp:coreProperties>
</file>