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8330A" w:rsidRPr="00F34ABE" w:rsidRDefault="003F6A26" w:rsidP="00FD1425">
            <w:pPr>
              <w:pStyle w:val="ConsPlusNormal"/>
            </w:pPr>
            <w:r>
              <w:t>Реконструкция тренировочной площадки на стадионе «Локомотив», г. Калининград, ул. Аллея Смелых, д. 22/а (2 этап)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E91771" w:rsidRDefault="00E91771" w:rsidP="00E91771">
            <w:pPr>
              <w:pStyle w:val="ConsPlusNormal"/>
            </w:pPr>
            <w:r>
              <w:t xml:space="preserve">Реконструкция тренировочной площадки </w:t>
            </w:r>
          </w:p>
          <w:p w:rsidR="00E91771" w:rsidRDefault="00E91771" w:rsidP="00E91771">
            <w:pPr>
              <w:pStyle w:val="ConsPlusNormal"/>
            </w:pPr>
            <w:r>
              <w:t xml:space="preserve">на стадионе «Локомотив», </w:t>
            </w:r>
          </w:p>
          <w:p w:rsidR="00E91771" w:rsidRDefault="00E91771" w:rsidP="00E91771">
            <w:pPr>
              <w:pStyle w:val="ConsPlusNormal"/>
            </w:pPr>
            <w:r>
              <w:t xml:space="preserve">г. Калининград, ул. Аллея Смелых, д. 22/а </w:t>
            </w:r>
          </w:p>
          <w:p w:rsidR="00F8330A" w:rsidRPr="00F34ABE" w:rsidRDefault="00E91771" w:rsidP="00E91771">
            <w:pPr>
              <w:pStyle w:val="ConsPlusNormal"/>
            </w:pPr>
            <w:r>
              <w:t>(2 этап)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3F6A26" w:rsidP="00FD1425">
            <w:pPr>
              <w:pStyle w:val="ConsPlusNormal"/>
            </w:pPr>
            <w:r>
              <w:t>236004, г. Калининград, ул. Аллея Смелых, д. 22/а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D8723C" w:rsidP="00FD1425">
            <w:pPr>
              <w:pStyle w:val="ConsPlusNormal"/>
            </w:pPr>
            <w:r w:rsidRPr="00D8723C">
              <w:t>Муниципальное автономное учреждение дополнительного образования города Калининграда детско-юношеская спортивная школа № 12 по боксу (МАУ ДО ДЮСШ № 12 по боксу).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D8723C" w:rsidRDefault="00D8723C" w:rsidP="00D8723C">
            <w:pPr>
              <w:pStyle w:val="ConsPlusNormal"/>
            </w:pPr>
            <w:r>
              <w:t xml:space="preserve">236010, г. Калининград, </w:t>
            </w:r>
          </w:p>
          <w:p w:rsidR="00F8330A" w:rsidRPr="00F34ABE" w:rsidRDefault="00D8723C" w:rsidP="00D8723C">
            <w:pPr>
              <w:pStyle w:val="ConsPlusNormal"/>
            </w:pPr>
            <w:r>
              <w:t>ул. Радищева, д. 81.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D452D8" w:rsidP="00FD1425">
            <w:pPr>
              <w:pStyle w:val="ConsPlusNormal"/>
            </w:pPr>
            <w:r w:rsidRPr="00D452D8">
              <w:t>3905082118</w:t>
            </w:r>
            <w:bookmarkStart w:id="0" w:name="_GoBack"/>
            <w:bookmarkEnd w:id="0"/>
          </w:p>
        </w:tc>
      </w:tr>
      <w:tr w:rsidR="0022743A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D8723C" w:rsidP="00FD1425">
            <w:pPr>
              <w:pStyle w:val="ConsPlusNormal"/>
            </w:pPr>
            <w:r w:rsidRPr="00D8723C">
              <w:t xml:space="preserve">Муниципальное казенное учреждение «Управление капитального строительства» городского округа </w:t>
            </w:r>
            <w:r>
              <w:t>«Город Калининград» (МКУ «УКС»)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D8723C" w:rsidP="00FD1425">
            <w:pPr>
              <w:pStyle w:val="ConsPlusNormal"/>
            </w:pPr>
            <w:r w:rsidRPr="00D8723C">
              <w:t xml:space="preserve">236022, г. </w:t>
            </w:r>
            <w:r>
              <w:t>Калининград, ул. В. Котика 4-10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</w:t>
            </w:r>
            <w:r w:rsidR="00105C06"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D452D8" w:rsidP="00FD1425">
            <w:pPr>
              <w:pStyle w:val="ConsPlusNormal"/>
            </w:pPr>
            <w:r w:rsidRPr="00D452D8">
              <w:t>3906257628</w:t>
            </w: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8330A" w:rsidRPr="00F34ABE" w:rsidRDefault="00D8723C" w:rsidP="00FD1425">
            <w:pPr>
              <w:pStyle w:val="ConsPlusNormal"/>
            </w:pPr>
            <w:r w:rsidRPr="00D8723C">
              <w:t>Открытое Акционерное Общество «Калининградский институт промышленного проектирования» (ОАО «</w:t>
            </w:r>
            <w:proofErr w:type="spellStart"/>
            <w:r w:rsidRPr="00D8723C">
              <w:t>Калиниградпромпроект</w:t>
            </w:r>
            <w:proofErr w:type="spellEnd"/>
            <w:r w:rsidRPr="00D8723C">
              <w:t>»).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Место нахождения проектной организации, подготовившей </w:t>
            </w:r>
            <w:r w:rsidRPr="00F34ABE">
              <w:lastRenderedPageBreak/>
              <w:t>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D8723C" w:rsidP="00FD1425">
            <w:pPr>
              <w:pStyle w:val="ConsPlusNormal"/>
            </w:pPr>
            <w:r w:rsidRPr="00D8723C">
              <w:lastRenderedPageBreak/>
              <w:t>236000, Калининградская обл., г. Калининград, Советский проспект, дом 12.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D8723C" w:rsidP="00FD1425">
            <w:pPr>
              <w:pStyle w:val="ConsPlusNormal"/>
            </w:pPr>
            <w:r w:rsidRPr="00D8723C">
              <w:t>ИНН 3903009514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961203" w:rsidP="00FD1425">
            <w:pPr>
              <w:pStyle w:val="ConsPlusNormal"/>
            </w:pPr>
            <w:r>
              <w:t>№ 39-1-1-3-0034-18</w:t>
            </w: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961203" w:rsidP="00FD1425">
            <w:pPr>
              <w:pStyle w:val="ConsPlusNormal"/>
            </w:pPr>
            <w:r>
              <w:t>23 апреля2018</w:t>
            </w: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Сметная стоимость строительства в </w:t>
            </w:r>
            <w:r w:rsidRPr="00F34ABE">
              <w:lastRenderedPageBreak/>
              <w:t>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292232" w:rsidP="00FD1425">
            <w:pPr>
              <w:pStyle w:val="ConsPlusNormal"/>
            </w:pPr>
            <w:r>
              <w:lastRenderedPageBreak/>
              <w:t xml:space="preserve"> -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292232" w:rsidP="00FD1425">
            <w:pPr>
              <w:pStyle w:val="ConsPlusNormal"/>
            </w:pPr>
            <w:r>
              <w:t xml:space="preserve"> -</w:t>
            </w: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105C06" w:rsidRPr="00F34ABE" w:rsidRDefault="000E2F28" w:rsidP="000E2F28">
            <w:pPr>
              <w:pStyle w:val="ConsPlusNormal"/>
            </w:pPr>
            <w:r>
              <w:t>Стадион открытый (беговые дорожки)</w:t>
            </w: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0E2F28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0E2F28" w:rsidP="00FD1425">
            <w:pPr>
              <w:pStyle w:val="ConsPlusNormal"/>
            </w:pPr>
            <w:r>
              <w:t>500 зрителей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0E2F28" w:rsidRDefault="000E2F28" w:rsidP="000E2F28">
            <w:pPr>
              <w:pStyle w:val="ConsPlusNormal"/>
            </w:pPr>
            <w:r>
              <w:t xml:space="preserve">Площадь участка в границах ГПЗУ </w:t>
            </w:r>
            <w:r>
              <w:tab/>
              <w:t>м2</w:t>
            </w:r>
            <w:r>
              <w:tab/>
              <w:t>48828,0</w:t>
            </w:r>
          </w:p>
          <w:p w:rsidR="000E2F28" w:rsidRDefault="000E2F28" w:rsidP="000E2F28">
            <w:pPr>
              <w:pStyle w:val="ConsPlusNormal"/>
            </w:pPr>
            <w:r>
              <w:t xml:space="preserve">Количество беговых дорожек с круговыми полосами </w:t>
            </w:r>
            <w:r>
              <w:tab/>
              <w:t>шт.</w:t>
            </w:r>
            <w:r>
              <w:tab/>
              <w:t>8</w:t>
            </w:r>
          </w:p>
          <w:p w:rsidR="000E2F28" w:rsidRDefault="000E2F28" w:rsidP="000E2F28">
            <w:pPr>
              <w:pStyle w:val="ConsPlusNormal"/>
            </w:pPr>
            <w:r>
              <w:t>Количество полос для пробега по прямой</w:t>
            </w:r>
          </w:p>
          <w:p w:rsidR="000E2F28" w:rsidRDefault="000E2F28" w:rsidP="000E2F28">
            <w:pPr>
              <w:pStyle w:val="ConsPlusNormal"/>
            </w:pPr>
            <w:r>
              <w:t xml:space="preserve"> (100 метров);</w:t>
            </w:r>
            <w:r>
              <w:tab/>
              <w:t>шт.</w:t>
            </w:r>
            <w:r>
              <w:tab/>
              <w:t>2</w:t>
            </w:r>
          </w:p>
          <w:p w:rsidR="000E2F28" w:rsidRDefault="000E2F28" w:rsidP="000E2F28">
            <w:pPr>
              <w:pStyle w:val="ConsPlusNormal"/>
            </w:pPr>
            <w:r>
              <w:t xml:space="preserve">Площадь плоскостных сооружений: </w:t>
            </w:r>
          </w:p>
          <w:p w:rsidR="000E2F28" w:rsidRDefault="000E2F28" w:rsidP="000E2F28">
            <w:pPr>
              <w:pStyle w:val="ConsPlusNormal"/>
            </w:pPr>
            <w:r>
              <w:t>- беговых дорожек м2 4895,0</w:t>
            </w:r>
          </w:p>
          <w:p w:rsidR="000E2F28" w:rsidRDefault="000E2F28" w:rsidP="000E2F28">
            <w:pPr>
              <w:pStyle w:val="ConsPlusNormal"/>
            </w:pPr>
            <w:r>
              <w:t>- разминочных дорожек (2 полосы) м2 675,0</w:t>
            </w:r>
          </w:p>
          <w:p w:rsidR="000E2F28" w:rsidRDefault="000E2F28" w:rsidP="000E2F28">
            <w:pPr>
              <w:pStyle w:val="ConsPlusNormal"/>
            </w:pPr>
            <w:r>
              <w:t>- площадка для установки трибун м2 333,0</w:t>
            </w:r>
          </w:p>
          <w:p w:rsidR="000E2F28" w:rsidRDefault="000E2F28" w:rsidP="000E2F28">
            <w:pPr>
              <w:pStyle w:val="ConsPlusNormal"/>
            </w:pPr>
            <w:r>
              <w:t>- полоса с опилками</w:t>
            </w:r>
            <w:r>
              <w:tab/>
              <w:t>м2 105,0</w:t>
            </w:r>
          </w:p>
          <w:p w:rsidR="00105C06" w:rsidRPr="00F34ABE" w:rsidRDefault="000E2F28" w:rsidP="000E2F28">
            <w:pPr>
              <w:pStyle w:val="ConsPlusNormal"/>
            </w:pPr>
            <w:r>
              <w:t>Площадь озеленения II этапа</w:t>
            </w:r>
            <w:r>
              <w:tab/>
              <w:t>м2</w:t>
            </w:r>
            <w:r>
              <w:tab/>
              <w:t>6245,0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0E2F28" w:rsidRDefault="000E2F28" w:rsidP="00FD1425">
            <w:pPr>
              <w:pStyle w:val="ConsPlusNormal"/>
            </w:pPr>
            <w:r>
              <w:rPr>
                <w:lang w:val="en-US"/>
              </w:rPr>
              <w:t>II</w:t>
            </w:r>
            <w:r>
              <w:t>Б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снегового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0E2F28" w:rsidRDefault="000E2F28" w:rsidP="00FD142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ветрового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0E2F28" w:rsidRDefault="000E2F28" w:rsidP="00FD142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сейсмичности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0E2F28" w:rsidRDefault="000E2F28" w:rsidP="00FD142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0E2F28" w:rsidRDefault="000E2F28" w:rsidP="00FD142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</w:t>
            </w:r>
            <w:r w:rsidRPr="00F34ABE">
              <w:lastRenderedPageBreak/>
              <w:t>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105C06" w:rsidRPr="00F34ABE" w:rsidRDefault="00FD1425" w:rsidP="00FD1425">
            <w:pPr>
              <w:pStyle w:val="ConsPlusNormal"/>
            </w:pPr>
            <w:r w:rsidRPr="00F34ABE">
              <w:lastRenderedPageBreak/>
              <w:t>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2F28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92232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3F6A26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1203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452D8"/>
    <w:rsid w:val="00D50253"/>
    <w:rsid w:val="00D51EF5"/>
    <w:rsid w:val="00D563B8"/>
    <w:rsid w:val="00D7043D"/>
    <w:rsid w:val="00D7458E"/>
    <w:rsid w:val="00D77397"/>
    <w:rsid w:val="00D778F4"/>
    <w:rsid w:val="00D83288"/>
    <w:rsid w:val="00D8723C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771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DC2F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Дмитрий Юрьевич Колобов</cp:lastModifiedBy>
  <cp:revision>9</cp:revision>
  <dcterms:created xsi:type="dcterms:W3CDTF">2017-12-19T13:58:00Z</dcterms:created>
  <dcterms:modified xsi:type="dcterms:W3CDTF">2018-04-25T14:28:00Z</dcterms:modified>
</cp:coreProperties>
</file>