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3130"/>
        <w:gridCol w:w="4465"/>
      </w:tblGrid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4465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80" w:type="dxa"/>
            <w:gridSpan w:val="2"/>
          </w:tcPr>
          <w:p w:rsidR="0028212A" w:rsidRDefault="00F8330A" w:rsidP="00404F8F">
            <w:pPr>
              <w:pStyle w:val="ConsPlusNormal"/>
              <w:jc w:val="both"/>
            </w:pPr>
            <w:r>
              <w:t xml:space="preserve">Наименование 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проектной документации</w:t>
            </w:r>
          </w:p>
        </w:tc>
        <w:tc>
          <w:tcPr>
            <w:tcW w:w="4465" w:type="dxa"/>
          </w:tcPr>
          <w:p w:rsidR="001069A9" w:rsidRDefault="001069A9" w:rsidP="001069A9">
            <w:pPr>
              <w:pStyle w:val="ConsPlusNormal"/>
            </w:pPr>
            <w:r>
              <w:t xml:space="preserve">Капитальный ремонт улицы </w:t>
            </w:r>
            <w:proofErr w:type="gramStart"/>
            <w:r>
              <w:t>Балтийская</w:t>
            </w:r>
            <w:proofErr w:type="gramEnd"/>
            <w:r>
              <w:t xml:space="preserve">  </w:t>
            </w:r>
          </w:p>
          <w:p w:rsidR="00F8330A" w:rsidRDefault="001069A9" w:rsidP="001069A9">
            <w:pPr>
              <w:pStyle w:val="ConsPlusNormal"/>
            </w:pPr>
            <w:r>
              <w:t>в г. Светлогорске Калининградской области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4465" w:type="dxa"/>
          </w:tcPr>
          <w:p w:rsidR="00F8330A" w:rsidRDefault="00266042" w:rsidP="001069A9">
            <w:pPr>
              <w:pStyle w:val="ConsPlusNormal"/>
            </w:pPr>
            <w:r>
              <w:t>улица</w:t>
            </w:r>
            <w:r w:rsidR="001069A9">
              <w:t xml:space="preserve"> Балтийская  в г. Светлогорске Калининградской области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4465" w:type="dxa"/>
          </w:tcPr>
          <w:p w:rsidR="00F8330A" w:rsidRDefault="001069A9" w:rsidP="00404F8F">
            <w:pPr>
              <w:pStyle w:val="ConsPlusNormal"/>
            </w:pPr>
            <w:r w:rsidRPr="001069A9">
              <w:t>администрация муниципального образования городское поселение «Город Светлогорск»</w:t>
            </w:r>
            <w:r>
              <w:t>;</w:t>
            </w:r>
          </w:p>
          <w:p w:rsidR="001069A9" w:rsidRDefault="001069A9" w:rsidP="00404F8F">
            <w:pPr>
              <w:pStyle w:val="ConsPlusNormal"/>
            </w:pPr>
            <w:r w:rsidRPr="001069A9">
              <w:t>МКУ «Управление капитального строительства администрации Светлогорского района»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4465" w:type="dxa"/>
          </w:tcPr>
          <w:p w:rsidR="00F677D0" w:rsidRDefault="001069A9" w:rsidP="00404F8F">
            <w:pPr>
              <w:pStyle w:val="ConsPlusNormal"/>
            </w:pPr>
            <w:r w:rsidRPr="001069A9">
              <w:t xml:space="preserve">238560, Калининградская обл., </w:t>
            </w:r>
          </w:p>
          <w:p w:rsidR="00F8330A" w:rsidRDefault="001069A9" w:rsidP="00404F8F">
            <w:pPr>
              <w:pStyle w:val="ConsPlusNormal"/>
            </w:pPr>
            <w:bookmarkStart w:id="0" w:name="_GoBack"/>
            <w:bookmarkEnd w:id="0"/>
            <w:r w:rsidRPr="001069A9">
              <w:t>г. Светлогорск, Калининградский пр-т, 77А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4465" w:type="dxa"/>
          </w:tcPr>
          <w:p w:rsidR="00F8330A" w:rsidRDefault="001069A9" w:rsidP="00404F8F">
            <w:pPr>
              <w:pStyle w:val="ConsPlusNormal"/>
            </w:pPr>
            <w:r w:rsidRPr="001069A9">
              <w:t>ООО «АСГАРД»</w:t>
            </w:r>
            <w:r w:rsidR="0028212A">
              <w:t>;</w:t>
            </w:r>
          </w:p>
          <w:p w:rsidR="0028212A" w:rsidRDefault="0028212A" w:rsidP="00404F8F">
            <w:pPr>
              <w:pStyle w:val="ConsPlusNormal"/>
            </w:pPr>
            <w:r w:rsidRPr="0028212A">
              <w:t>ООО «</w:t>
            </w:r>
            <w:proofErr w:type="spellStart"/>
            <w:r w:rsidRPr="0028212A">
              <w:t>БалтИнвестСтрой</w:t>
            </w:r>
            <w:proofErr w:type="spellEnd"/>
            <w:r w:rsidRPr="0028212A">
              <w:t>»</w:t>
            </w:r>
            <w:r>
              <w:t>;</w:t>
            </w:r>
          </w:p>
          <w:p w:rsidR="0028212A" w:rsidRDefault="0028212A" w:rsidP="00404F8F">
            <w:pPr>
              <w:pStyle w:val="ConsPlusNormal"/>
            </w:pPr>
            <w:r w:rsidRPr="0028212A">
              <w:t>ООО «Центр инженерных изысканий»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65" w:type="dxa"/>
          </w:tcPr>
          <w:p w:rsidR="00F8330A" w:rsidRDefault="001069A9" w:rsidP="00404F8F">
            <w:pPr>
              <w:pStyle w:val="ConsPlusNormal"/>
            </w:pPr>
            <w:r>
              <w:t>Калининградская область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4465" w:type="dxa"/>
          </w:tcPr>
          <w:p w:rsidR="001069A9" w:rsidRPr="001069A9" w:rsidRDefault="001069A9" w:rsidP="001069A9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069A9">
              <w:rPr>
                <w:rFonts w:ascii="Calibri" w:eastAsia="Times New Roman" w:hAnsi="Calibri" w:cs="Calibri"/>
                <w:szCs w:val="20"/>
                <w:lang w:eastAsia="ru-RU"/>
              </w:rPr>
              <w:t>Калининградская область, город Светлогорск, улица Балтийская</w:t>
            </w:r>
          </w:p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4465" w:type="dxa"/>
          </w:tcPr>
          <w:p w:rsidR="00F8330A" w:rsidRDefault="001069A9" w:rsidP="00404F8F">
            <w:pPr>
              <w:pStyle w:val="ConsPlusNormal"/>
            </w:pPr>
            <w:r>
              <w:t>39-1-1-3-0092-17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4465" w:type="dxa"/>
          </w:tcPr>
          <w:p w:rsidR="00F8330A" w:rsidRDefault="001069A9" w:rsidP="00404F8F">
            <w:pPr>
              <w:pStyle w:val="ConsPlusNormal"/>
            </w:pPr>
            <w:r>
              <w:t>20.12.2017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65" w:type="dxa"/>
          </w:tcPr>
          <w:p w:rsidR="00F8330A" w:rsidRDefault="0028212A" w:rsidP="00404F8F">
            <w:pPr>
              <w:pStyle w:val="ConsPlusNormal"/>
            </w:pPr>
            <w:r>
              <w:t>Не применяется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4465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4465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Сведения о </w:t>
            </w:r>
            <w:proofErr w:type="spellStart"/>
            <w:r>
              <w:t>непревышении</w:t>
            </w:r>
            <w:proofErr w:type="spellEnd"/>
            <w:r>
              <w:t xml:space="preserve"> стоимости строительства объекта капитального </w:t>
            </w:r>
            <w: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65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4465" w:type="dxa"/>
          </w:tcPr>
          <w:p w:rsidR="00F8330A" w:rsidRDefault="001069A9" w:rsidP="00404F8F">
            <w:pPr>
              <w:pStyle w:val="ConsPlusNormal"/>
            </w:pPr>
            <w:r w:rsidRPr="001069A9">
              <w:t>улица местного значения в зоне жилой застройки</w:t>
            </w:r>
          </w:p>
        </w:tc>
      </w:tr>
      <w:tr w:rsidR="00F8330A" w:rsidTr="0028212A">
        <w:tc>
          <w:tcPr>
            <w:tcW w:w="623" w:type="dxa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65" w:type="dxa"/>
          </w:tcPr>
          <w:p w:rsidR="00F8330A" w:rsidRDefault="00F8330A" w:rsidP="0028212A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13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65" w:type="dxa"/>
          </w:tcPr>
          <w:p w:rsidR="00ED65E0" w:rsidRDefault="00ED65E0" w:rsidP="00ED65E0">
            <w:pPr>
              <w:pStyle w:val="ConsPlusNormal"/>
            </w:pPr>
            <w:r>
              <w:t xml:space="preserve">Расчетная скорость </w:t>
            </w:r>
            <w:r>
              <w:tab/>
              <w:t xml:space="preserve">              40 км/ч</w:t>
            </w:r>
            <w:r>
              <w:tab/>
            </w:r>
          </w:p>
          <w:p w:rsidR="00ED65E0" w:rsidRDefault="00ED65E0" w:rsidP="00ED65E0">
            <w:pPr>
              <w:pStyle w:val="ConsPlusNormal"/>
            </w:pPr>
            <w:r>
              <w:t>Ширина проезжей части</w:t>
            </w:r>
            <w:r>
              <w:tab/>
              <w:t>5,5 м</w:t>
            </w:r>
            <w:r>
              <w:tab/>
            </w:r>
          </w:p>
          <w:p w:rsidR="00ED65E0" w:rsidRDefault="00ED65E0" w:rsidP="00ED65E0">
            <w:pPr>
              <w:pStyle w:val="ConsPlusNormal"/>
            </w:pPr>
            <w:r>
              <w:t xml:space="preserve">Количество полос движения   2 </w:t>
            </w:r>
          </w:p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13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65" w:type="dxa"/>
          </w:tcPr>
          <w:p w:rsidR="00ED65E0" w:rsidRDefault="00ED65E0" w:rsidP="00ED65E0">
            <w:pPr>
              <w:pStyle w:val="ConsPlusNormal"/>
            </w:pPr>
            <w:r>
              <w:t xml:space="preserve">Улица местного значения </w:t>
            </w:r>
          </w:p>
          <w:p w:rsidR="00F8330A" w:rsidRDefault="00F8330A" w:rsidP="00ED65E0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13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4465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13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465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13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465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13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4465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13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4465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13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4465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13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4465" w:type="dxa"/>
          </w:tcPr>
          <w:p w:rsidR="00F8330A" w:rsidRDefault="00F83B57" w:rsidP="00404F8F">
            <w:pPr>
              <w:pStyle w:val="ConsPlusNormal"/>
            </w:pPr>
            <w:r>
              <w:t xml:space="preserve">1450 </w:t>
            </w:r>
          </w:p>
        </w:tc>
      </w:tr>
      <w:tr w:rsidR="00F8330A" w:rsidTr="0028212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130" w:type="dxa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465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130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65" w:type="dxa"/>
          </w:tcPr>
          <w:p w:rsidR="00F63E05" w:rsidRDefault="00F63E05" w:rsidP="00ED65E0">
            <w:pPr>
              <w:pStyle w:val="ConsPlusNormal"/>
            </w:pP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65" w:type="dxa"/>
          </w:tcPr>
          <w:p w:rsidR="00F8330A" w:rsidRPr="00ED65E0" w:rsidRDefault="00ED65E0" w:rsidP="00404F8F">
            <w:pPr>
              <w:pStyle w:val="ConsPlusNormal"/>
            </w:pPr>
            <w:r>
              <w:rPr>
                <w:lang w:val="en-US"/>
              </w:rPr>
              <w:t>II</w:t>
            </w:r>
            <w:r>
              <w:t>Б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65" w:type="dxa"/>
          </w:tcPr>
          <w:p w:rsidR="00F8330A" w:rsidRPr="00ED65E0" w:rsidRDefault="00ED65E0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65" w:type="dxa"/>
          </w:tcPr>
          <w:p w:rsidR="00F8330A" w:rsidRDefault="00ED65E0" w:rsidP="00404F8F">
            <w:pPr>
              <w:pStyle w:val="ConsPlusNormal"/>
            </w:pPr>
            <w:r>
              <w:rPr>
                <w:lang w:val="en-US"/>
              </w:rPr>
              <w:t>III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65" w:type="dxa"/>
          </w:tcPr>
          <w:p w:rsidR="00F8330A" w:rsidRPr="00ED65E0" w:rsidRDefault="00ED65E0" w:rsidP="00404F8F">
            <w:pPr>
              <w:pStyle w:val="ConsPlusNormal"/>
            </w:pPr>
            <w:r>
              <w:t>Не указан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65" w:type="dxa"/>
          </w:tcPr>
          <w:p w:rsidR="00F8330A" w:rsidRPr="00266042" w:rsidRDefault="00ED65E0" w:rsidP="00266042">
            <w:pPr>
              <w:pStyle w:val="ConsPlusNormal"/>
              <w:rPr>
                <w:lang w:val="en-US"/>
              </w:rPr>
            </w:pPr>
            <w:r>
              <w:t>Не указан</w:t>
            </w:r>
            <w:r w:rsidR="00266042">
              <w:t>а</w:t>
            </w:r>
          </w:p>
        </w:tc>
      </w:tr>
      <w:tr w:rsidR="00F8330A" w:rsidTr="0028212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80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65" w:type="dxa"/>
          </w:tcPr>
          <w:p w:rsidR="00F8330A" w:rsidRPr="00266042" w:rsidRDefault="00ED65E0" w:rsidP="00404F8F">
            <w:pPr>
              <w:pStyle w:val="ConsPlusNormal"/>
              <w:rPr>
                <w:lang w:val="en-US"/>
              </w:rPr>
            </w:pPr>
            <w:r>
              <w:t>Не указан</w:t>
            </w:r>
            <w:r w:rsidR="00266042">
              <w:t>о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69A9"/>
    <w:rsid w:val="00111CD8"/>
    <w:rsid w:val="00112290"/>
    <w:rsid w:val="00113C90"/>
    <w:rsid w:val="001330B9"/>
    <w:rsid w:val="001374D2"/>
    <w:rsid w:val="00141267"/>
    <w:rsid w:val="00154560"/>
    <w:rsid w:val="00162596"/>
    <w:rsid w:val="00174F8E"/>
    <w:rsid w:val="00183CA2"/>
    <w:rsid w:val="00187C7B"/>
    <w:rsid w:val="001926C5"/>
    <w:rsid w:val="00197220"/>
    <w:rsid w:val="001A0007"/>
    <w:rsid w:val="001B2441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66042"/>
    <w:rsid w:val="002718C4"/>
    <w:rsid w:val="00272687"/>
    <w:rsid w:val="002737F2"/>
    <w:rsid w:val="002745BC"/>
    <w:rsid w:val="00276C96"/>
    <w:rsid w:val="002800A6"/>
    <w:rsid w:val="0028212A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C388E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D65E0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3E05"/>
    <w:rsid w:val="00F645EF"/>
    <w:rsid w:val="00F65F90"/>
    <w:rsid w:val="00F6688D"/>
    <w:rsid w:val="00F677D0"/>
    <w:rsid w:val="00F71C1B"/>
    <w:rsid w:val="00F75DB8"/>
    <w:rsid w:val="00F8330A"/>
    <w:rsid w:val="00F83B57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Светлана Борисовна Варецкая</cp:lastModifiedBy>
  <cp:revision>5</cp:revision>
  <dcterms:created xsi:type="dcterms:W3CDTF">2017-12-19T13:58:00Z</dcterms:created>
  <dcterms:modified xsi:type="dcterms:W3CDTF">2017-12-26T06:29:00Z</dcterms:modified>
</cp:coreProperties>
</file>