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5725"/>
        <w:gridCol w:w="1870"/>
      </w:tblGrid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 w:rsidRPr="00ED5B75">
              <w:rPr>
                <w:sz w:val="26"/>
                <w:szCs w:val="26"/>
              </w:rPr>
              <w:t>Стадион Чемпионата мира ФИФА в г. Калининграде, Солнечный бульвар». Строительство набережной от моста Высокий до границ земельного участка стадиона,</w:t>
            </w:r>
            <w:r>
              <w:rPr>
                <w:sz w:val="26"/>
                <w:szCs w:val="26"/>
              </w:rPr>
              <w:t xml:space="preserve"> Корректировка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 w:rsidRPr="00ED5B75">
              <w:rPr>
                <w:sz w:val="26"/>
                <w:szCs w:val="26"/>
              </w:rPr>
              <w:t>Стадион Чемпионата мира ФИФА в г. Калининграде, Солнечный бульвар». Строительство набережной от моста Высокий до границ земельного участка стадиона,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 w:rsidRPr="001B7D9C">
              <w:rPr>
                <w:bCs/>
                <w:sz w:val="26"/>
              </w:rPr>
              <w:t>Государственное казенное учреждение Калининградской области «Региональное управление заказчика капитального строительства» (ГКУ КО «РУЗКС»).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 w:rsidRPr="001B7D9C">
              <w:rPr>
                <w:bCs/>
                <w:sz w:val="26"/>
              </w:rPr>
              <w:t>236006, г. Калининград, Московский проспект, 95.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68318A" w:rsidRDefault="0068318A" w:rsidP="00404F8F">
            <w:pPr>
              <w:pStyle w:val="ConsPlusNormal"/>
              <w:rPr>
                <w:sz w:val="26"/>
                <w:szCs w:val="26"/>
              </w:rPr>
            </w:pPr>
            <w:r w:rsidRPr="00DD7060">
              <w:rPr>
                <w:sz w:val="26"/>
                <w:szCs w:val="26"/>
              </w:rPr>
              <w:t>ЗАО «АБЗ-Дорстрой».</w:t>
            </w:r>
            <w:r w:rsidRPr="00DD7060">
              <w:rPr>
                <w:b/>
                <w:sz w:val="26"/>
                <w:szCs w:val="26"/>
              </w:rPr>
              <w:t xml:space="preserve"> </w:t>
            </w:r>
            <w:r w:rsidRPr="0068318A">
              <w:rPr>
                <w:sz w:val="26"/>
                <w:szCs w:val="26"/>
              </w:rPr>
              <w:t>193079, г. Санкт-Петербург, Октябрьская наб., дом 102, корп. 2, лит. Я2.</w:t>
            </w:r>
            <w:r w:rsidRPr="0068318A">
              <w:rPr>
                <w:sz w:val="26"/>
                <w:szCs w:val="26"/>
              </w:rPr>
              <w:t xml:space="preserve"> </w:t>
            </w:r>
          </w:p>
          <w:p w:rsidR="00F8330A" w:rsidRDefault="0068318A" w:rsidP="00404F8F">
            <w:pPr>
              <w:pStyle w:val="ConsPlusNormal"/>
            </w:pPr>
            <w:r w:rsidRPr="0068318A">
              <w:rPr>
                <w:sz w:val="26"/>
                <w:szCs w:val="26"/>
              </w:rPr>
              <w:t>ООО «Ампир». 236006 г. Калининград, Московский проспект, дом № 14Б.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1870" w:type="dxa"/>
          </w:tcPr>
          <w:p w:rsidR="0068318A" w:rsidRDefault="0068318A" w:rsidP="0068318A">
            <w:pPr>
              <w:pStyle w:val="ConsPlusNormal"/>
            </w:pPr>
            <w:r>
              <w:t>Калининградская обл.</w:t>
            </w:r>
          </w:p>
          <w:p w:rsidR="00F8330A" w:rsidRPr="0068318A" w:rsidRDefault="0068318A" w:rsidP="0068318A">
            <w:pPr>
              <w:pStyle w:val="ConsPlusNormal"/>
            </w:pPr>
            <w:r>
              <w:t xml:space="preserve">г. Калининград, 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>
              <w:t>Г. Калининград, о. Октябрьский, Солнечный бульвар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>
              <w:t>39-1-1-3-0097-17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>
              <w:t>29.ё12.2017 г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>
              <w:t>Не применялось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>
              <w:t xml:space="preserve"> нет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1870" w:type="dxa"/>
          </w:tcPr>
          <w:p w:rsidR="00F8330A" w:rsidRDefault="0068318A" w:rsidP="00404F8F">
            <w:pPr>
              <w:pStyle w:val="ConsPlusNormal"/>
            </w:pPr>
            <w:r>
              <w:t>нет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1870" w:type="dxa"/>
          </w:tcPr>
          <w:p w:rsidR="00F8330A" w:rsidRDefault="001D5F82" w:rsidP="00404F8F">
            <w:pPr>
              <w:pStyle w:val="ConsPlusNormal"/>
            </w:pPr>
            <w:r>
              <w:t>не</w:t>
            </w:r>
            <w:r w:rsidR="0068318A">
              <w:t>т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1D5F82" w:rsidP="00404F8F">
            <w:pPr>
              <w:pStyle w:val="ConsPlusNormal"/>
            </w:pPr>
            <w:r w:rsidRPr="00DD7060">
              <w:rPr>
                <w:sz w:val="26"/>
                <w:szCs w:val="26"/>
              </w:rPr>
              <w:t>Дороги автомобильные, в том числе улично-дорожная сеть и прочие автомобильные и пешеходные дороги</w:t>
            </w:r>
          </w:p>
        </w:tc>
      </w:tr>
      <w:tr w:rsidR="00F8330A" w:rsidTr="00404F8F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1870" w:type="dxa"/>
          </w:tcPr>
          <w:p w:rsidR="00F8330A" w:rsidRDefault="001D5F82" w:rsidP="00404F8F">
            <w:pPr>
              <w:pStyle w:val="ConsPlusNormal"/>
            </w:pPr>
            <w:r>
              <w:t>Магистральная улица районного знкачения.</w:t>
            </w:r>
          </w:p>
          <w:p w:rsidR="001D5F82" w:rsidRDefault="001D5F82" w:rsidP="00404F8F">
            <w:pPr>
              <w:pStyle w:val="ConsPlusNormal"/>
            </w:pPr>
            <w:r>
              <w:t>Протяженность 780,8 м</w:t>
            </w:r>
          </w:p>
          <w:p w:rsidR="001D5F82" w:rsidRDefault="001D5F82" w:rsidP="00404F8F">
            <w:pPr>
              <w:pStyle w:val="ConsPlusNormal"/>
            </w:pPr>
            <w:r>
              <w:t>Тип покрытия капаитальный.</w:t>
            </w:r>
          </w:p>
          <w:p w:rsidR="001D5F82" w:rsidRDefault="001D5F82" w:rsidP="00404F8F">
            <w:pPr>
              <w:pStyle w:val="ConsPlusNormal"/>
            </w:pPr>
            <w:r>
              <w:t>Ширина :</w:t>
            </w:r>
          </w:p>
          <w:p w:rsidR="001D5F82" w:rsidRDefault="001D5F82" w:rsidP="00404F8F">
            <w:pPr>
              <w:pStyle w:val="ConsPlusNormal"/>
            </w:pPr>
            <w:r>
              <w:t>-проезжей части/разделительной полосы 15,0/2,5 м</w:t>
            </w:r>
          </w:p>
          <w:p w:rsidR="001D5F82" w:rsidRDefault="001D5F82" w:rsidP="00404F8F">
            <w:pPr>
              <w:pStyle w:val="ConsPlusNormal"/>
            </w:pPr>
            <w:r>
              <w:t>-пешеходной дорожки/тротуара 3,02/21,25 м</w:t>
            </w:r>
          </w:p>
          <w:p w:rsidR="001D5F82" w:rsidRDefault="001D5F82" w:rsidP="00404F8F">
            <w:pPr>
              <w:pStyle w:val="ConsPlusNormal"/>
            </w:pPr>
            <w:r>
              <w:t>-велодрожки 0,7-3,02 м</w:t>
            </w:r>
          </w:p>
          <w:p w:rsidR="001D5F82" w:rsidRDefault="001D5F82" w:rsidP="00404F8F">
            <w:pPr>
              <w:pStyle w:val="ConsPlusNormal"/>
              <w:rPr>
                <w:vertAlign w:val="superscript"/>
              </w:rPr>
            </w:pPr>
            <w:r>
              <w:t>-Площадь покрытия проезжей части с учетом примыканий 11822 м</w:t>
            </w:r>
            <w:r>
              <w:rPr>
                <w:vertAlign w:val="superscript"/>
              </w:rPr>
              <w:t>2</w:t>
            </w:r>
          </w:p>
          <w:p w:rsidR="001D5F82" w:rsidRPr="00180372" w:rsidRDefault="001D5F82" w:rsidP="00404F8F">
            <w:pPr>
              <w:pStyle w:val="ConsPlusNormal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t>Площадь покрытия</w:t>
            </w:r>
            <w:r w:rsidR="00180372">
              <w:t xml:space="preserve"> пешеходной и велосипедной дорожек, смотровой площадки, тротуаров и разделительной полосы 9699 м</w:t>
            </w:r>
            <w:r w:rsidR="00180372">
              <w:rPr>
                <w:vertAlign w:val="superscript"/>
              </w:rPr>
              <w:t>2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Категория, класс (не заполняется в отношении объектов </w:t>
            </w:r>
            <w:r>
              <w:lastRenderedPageBreak/>
              <w:t>капитального строительства, у которых отсутствует данный параметр)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lastRenderedPageBreak/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780,8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Класс энергоэффективности объекта капитального строительства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II Б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II - 120кПа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II 30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До 5 баллов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Default="00180372" w:rsidP="00404F8F">
            <w:pPr>
              <w:pStyle w:val="ConsPlusNormal"/>
            </w:pPr>
            <w:r>
              <w:t>Умеренно опасные. Возможно подтопление территории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180372">
      <w:r>
        <w:t>Сорокин А.И. 30.01.18</w:t>
      </w:r>
      <w:bookmarkStart w:id="0" w:name="_GoBack"/>
      <w:bookmarkEnd w:id="0"/>
    </w:p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0372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5F82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8318A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Алексей Ильич Сорокин</cp:lastModifiedBy>
  <cp:revision>2</cp:revision>
  <dcterms:created xsi:type="dcterms:W3CDTF">2017-12-19T13:58:00Z</dcterms:created>
  <dcterms:modified xsi:type="dcterms:W3CDTF">2018-01-30T13:16:00Z</dcterms:modified>
</cp:coreProperties>
</file>